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DE14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承保范围及特别约定承诺函</w:t>
      </w:r>
    </w:p>
    <w:p w14:paraId="743A83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5E60A92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致：融水苗族自治县人民医院</w:t>
      </w:r>
    </w:p>
    <w:p w14:paraId="42CF99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我公司（全称：__________</w:t>
      </w:r>
      <w:bookmarkStart w:id="0" w:name="_GoBack"/>
      <w:bookmarkEnd w:id="0"/>
      <w:r>
        <w:rPr>
          <w:rFonts w:hint="eastAsia" w:ascii="仿宋_GB2312" w:hAnsi="仿宋_GB2312" w:eastAsia="仿宋_GB2312" w:cs="仿宋_GB2312"/>
          <w:sz w:val="32"/>
          <w:szCs w:val="32"/>
        </w:rPr>
        <w:t>______）自愿参与贵院2026年机动车停车场责任保险市场调研询价，现郑重承诺如下：</w:t>
      </w:r>
    </w:p>
    <w:p w14:paraId="6854CA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一、我公司已仔细阅读《2026年机动车停车场责任保险采购需求》及询价公告，完全理解其中▲实质性要求和●重点分配要求。</w:t>
      </w:r>
    </w:p>
    <w:p w14:paraId="36ADC7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二、我公司如实披露标准保险条款下对采购需求承保范围的承保前提条件：</w:t>
      </w:r>
    </w:p>
    <w:p w14:paraId="439BEE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对“火灾、爆炸；外界物体倒塌或碰撞、空中物体坠落；他人恶意行为造成的损坏；整车被盗窃、被抢劫、被抢夺”等列明风险，我公司标准条款的赔偿前提为：</w:t>
      </w:r>
    </w:p>
    <w:p w14:paraId="37FB75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不以被保险人过失为前提（请说明：</w:t>
      </w:r>
      <w:r>
        <w:rPr>
          <w:rFonts w:hint="eastAsia" w:ascii="仿宋_GB2312" w:hAnsi="仿宋_GB2312" w:eastAsia="仿宋_GB2312" w:cs="仿宋_GB2312"/>
          <w:color w:val="0000FF"/>
          <w:sz w:val="32"/>
          <w:szCs w:val="32"/>
        </w:rPr>
        <w:t>我公司《停车场责任保险条款》第五条规定，因火灾、爆炸、外界物体坠落、他人恶意行为、盗抢等列明风险造成机动车损失，无论被保险人有无过失，保险人均负责赔偿。</w:t>
      </w:r>
      <w:r>
        <w:rPr>
          <w:rFonts w:hint="eastAsia" w:ascii="仿宋_GB2312" w:hAnsi="仿宋_GB2312" w:eastAsia="仿宋_GB2312" w:cs="仿宋_GB2312"/>
          <w:sz w:val="32"/>
          <w:szCs w:val="32"/>
        </w:rPr>
        <w:t>）</w:t>
      </w:r>
    </w:p>
    <w:p w14:paraId="0A95ED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以被保险人过失为前提（请说明：</w:t>
      </w:r>
      <w:r>
        <w:rPr>
          <w:rFonts w:hint="eastAsia" w:ascii="仿宋_GB2312" w:hAnsi="仿宋_GB2312" w:eastAsia="仿宋_GB2312" w:cs="仿宋_GB2312"/>
          <w:color w:val="0000FF"/>
          <w:sz w:val="32"/>
          <w:szCs w:val="32"/>
        </w:rPr>
        <w:t>我公司《停车场责任保险条款》第四条规定，因被保险人及其雇员的过失造成停放的机动车损毁或全车丢失，保险人负责赔偿；若被保险人无过失，则不属于保险责任范围。</w:t>
      </w:r>
      <w:r>
        <w:rPr>
          <w:rFonts w:hint="eastAsia" w:ascii="仿宋_GB2312" w:hAnsi="仿宋_GB2312" w:eastAsia="仿宋_GB2312" w:cs="仿宋_GB2312"/>
          <w:sz w:val="32"/>
          <w:szCs w:val="32"/>
        </w:rPr>
        <w:t>）</w:t>
      </w:r>
    </w:p>
    <w:p w14:paraId="4E9EB4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 其他：</w:t>
      </w:r>
      <w:r>
        <w:rPr>
          <w:rFonts w:hint="eastAsia" w:ascii="仿宋_GB2312" w:hAnsi="仿宋_GB2312" w:eastAsia="仿宋_GB2312" w:cs="仿宋_GB2312"/>
          <w:sz w:val="32"/>
          <w:szCs w:val="32"/>
          <w:u w:val="single"/>
          <w:lang w:val="en-US" w:eastAsia="zh-CN"/>
        </w:rPr>
        <w:t xml:space="preserve">                            </w:t>
      </w:r>
    </w:p>
    <w:p w14:paraId="410C44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我公司标准条款中存在的责任免除条款包括：</w:t>
      </w:r>
    </w:p>
    <w:p w14:paraId="703ABA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重大过失免责</w:t>
      </w:r>
    </w:p>
    <w:p w14:paraId="25C676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未登记/未查验停车凭证免责</w:t>
      </w:r>
    </w:p>
    <w:p w14:paraId="1F27D2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合同责任免责</w:t>
      </w:r>
    </w:p>
    <w:p w14:paraId="0D4310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其他：</w:t>
      </w:r>
      <w:r>
        <w:rPr>
          <w:rFonts w:hint="eastAsia" w:ascii="仿宋_GB2312" w:hAnsi="仿宋_GB2312" w:eastAsia="仿宋_GB2312" w:cs="仿宋_GB2312"/>
          <w:sz w:val="32"/>
          <w:szCs w:val="32"/>
          <w:u w:val="single"/>
          <w:lang w:val="en-US" w:eastAsia="zh-CN"/>
        </w:rPr>
        <w:t xml:space="preserve">                            </w:t>
      </w:r>
    </w:p>
    <w:p w14:paraId="4FC2EB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三、我公司承诺中标后按采购文件及合同约定履行，若标准条款与采购需求不一致，以采购文件及合同约定为准。</w:t>
      </w:r>
    </w:p>
    <w:p w14:paraId="263258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四、我公司拟承保条件：</w:t>
      </w:r>
    </w:p>
    <w:p w14:paraId="100BB3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赔偿限额：年度累计赔偿限额______万元</w:t>
      </w:r>
      <w:r>
        <w:rPr>
          <w:rFonts w:hint="eastAsia" w:ascii="仿宋_GB2312" w:hAnsi="仿宋_GB2312" w:eastAsia="仿宋_GB2312" w:cs="仿宋_GB2312"/>
          <w:b/>
          <w:bCs/>
          <w:color w:val="0000FF"/>
          <w:sz w:val="32"/>
          <w:szCs w:val="32"/>
        </w:rPr>
        <w:t>（≥130万元）</w:t>
      </w:r>
      <w:r>
        <w:rPr>
          <w:rFonts w:hint="eastAsia" w:ascii="仿宋_GB2312" w:hAnsi="仿宋_GB2312" w:eastAsia="仿宋_GB2312" w:cs="仿宋_GB2312"/>
          <w:sz w:val="32"/>
          <w:szCs w:val="32"/>
        </w:rPr>
        <w:t>，单次事故赔偿限额______万元</w:t>
      </w:r>
      <w:r>
        <w:rPr>
          <w:rFonts w:hint="eastAsia" w:ascii="仿宋_GB2312" w:hAnsi="仿宋_GB2312" w:eastAsia="仿宋_GB2312" w:cs="仿宋_GB2312"/>
          <w:b/>
          <w:bCs/>
          <w:color w:val="0000FF"/>
          <w:sz w:val="32"/>
          <w:szCs w:val="32"/>
        </w:rPr>
        <w:t>（≥130万元）</w:t>
      </w:r>
      <w:r>
        <w:rPr>
          <w:rFonts w:hint="eastAsia" w:ascii="仿宋_GB2312" w:hAnsi="仿宋_GB2312" w:eastAsia="仿宋_GB2312" w:cs="仿宋_GB2312"/>
          <w:sz w:val="32"/>
          <w:szCs w:val="32"/>
        </w:rPr>
        <w:t>，每次事故每车赔偿限额______万元</w:t>
      </w:r>
      <w:r>
        <w:rPr>
          <w:rFonts w:hint="eastAsia" w:ascii="仿宋_GB2312" w:hAnsi="仿宋_GB2312" w:eastAsia="仿宋_GB2312" w:cs="仿宋_GB2312"/>
          <w:b/>
          <w:bCs/>
          <w:color w:val="0000FF"/>
          <w:sz w:val="32"/>
          <w:szCs w:val="32"/>
        </w:rPr>
        <w:t>（≥20万元）</w:t>
      </w:r>
      <w:r>
        <w:rPr>
          <w:rFonts w:hint="eastAsia" w:ascii="仿宋_GB2312" w:hAnsi="仿宋_GB2312" w:eastAsia="仿宋_GB2312" w:cs="仿宋_GB2312"/>
          <w:sz w:val="32"/>
          <w:szCs w:val="32"/>
        </w:rPr>
        <w:t>。</w:t>
      </w:r>
    </w:p>
    <w:p w14:paraId="6DCD1A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免赔额：一般事故每车免赔额______元</w:t>
      </w:r>
      <w:r>
        <w:rPr>
          <w:rFonts w:hint="eastAsia" w:ascii="仿宋_GB2312" w:hAnsi="仿宋_GB2312" w:eastAsia="仿宋_GB2312" w:cs="仿宋_GB2312"/>
          <w:b/>
          <w:bCs/>
          <w:color w:val="0000FF"/>
          <w:sz w:val="32"/>
          <w:szCs w:val="32"/>
        </w:rPr>
        <w:t>（≤500元）</w:t>
      </w:r>
      <w:r>
        <w:rPr>
          <w:rFonts w:hint="eastAsia" w:ascii="仿宋_GB2312" w:hAnsi="仿宋_GB2312" w:eastAsia="仿宋_GB2312" w:cs="仿宋_GB2312"/>
          <w:sz w:val="32"/>
          <w:szCs w:val="32"/>
        </w:rPr>
        <w:t>或免赔率______%</w:t>
      </w:r>
      <w:r>
        <w:rPr>
          <w:rFonts w:hint="eastAsia" w:ascii="仿宋_GB2312" w:hAnsi="仿宋_GB2312" w:eastAsia="仿宋_GB2312" w:cs="仿宋_GB2312"/>
          <w:b/>
          <w:bCs/>
          <w:color w:val="0000FF"/>
          <w:sz w:val="32"/>
          <w:szCs w:val="32"/>
        </w:rPr>
        <w:t>（≤5%）</w:t>
      </w:r>
      <w:r>
        <w:rPr>
          <w:rFonts w:hint="eastAsia" w:ascii="仿宋_GB2312" w:hAnsi="仿宋_GB2312" w:eastAsia="仿宋_GB2312" w:cs="仿宋_GB2312"/>
          <w:sz w:val="32"/>
          <w:szCs w:val="32"/>
        </w:rPr>
        <w:t>；全车盗抢事故每车免赔额______元</w:t>
      </w:r>
      <w:r>
        <w:rPr>
          <w:rFonts w:hint="eastAsia" w:ascii="仿宋_GB2312" w:hAnsi="仿宋_GB2312" w:eastAsia="仿宋_GB2312" w:cs="仿宋_GB2312"/>
          <w:b/>
          <w:bCs/>
          <w:color w:val="0000FF"/>
          <w:sz w:val="32"/>
          <w:szCs w:val="32"/>
        </w:rPr>
        <w:t>（≤1000元）</w:t>
      </w:r>
      <w:r>
        <w:rPr>
          <w:rFonts w:hint="eastAsia" w:ascii="仿宋_GB2312" w:hAnsi="仿宋_GB2312" w:eastAsia="仿宋_GB2312" w:cs="仿宋_GB2312"/>
          <w:sz w:val="32"/>
          <w:szCs w:val="32"/>
        </w:rPr>
        <w:t>或免赔率______%</w:t>
      </w:r>
      <w:r>
        <w:rPr>
          <w:rFonts w:hint="eastAsia" w:ascii="仿宋_GB2312" w:hAnsi="仿宋_GB2312" w:eastAsia="仿宋_GB2312" w:cs="仿宋_GB2312"/>
          <w:b/>
          <w:bCs/>
          <w:color w:val="0000FF"/>
          <w:sz w:val="32"/>
          <w:szCs w:val="32"/>
        </w:rPr>
        <w:t>（≤10%）</w:t>
      </w:r>
      <w:r>
        <w:rPr>
          <w:rFonts w:hint="eastAsia" w:ascii="仿宋_GB2312" w:hAnsi="仿宋_GB2312" w:eastAsia="仿宋_GB2312" w:cs="仿宋_GB2312"/>
          <w:sz w:val="32"/>
          <w:szCs w:val="32"/>
        </w:rPr>
        <w:t>。不同时设置免赔额和免赔率。</w:t>
      </w:r>
    </w:p>
    <w:p w14:paraId="540A35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理赔时效：接到赔偿请求后______日内核定；情形复杂的______日内核定；属于保险责任的，达成赔偿协议后______日内赔偿；不属于保险责任的，自核定之日起______日内发出拒赔通知书并说明理由。重大事故或全车丢失案件，______小时内查勘响应。</w:t>
      </w:r>
    </w:p>
    <w:p w14:paraId="77D4CA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报案时限：投保人、被保险人需在知道或应当知道保险事故发生后的48小时内报案。我公司报案方式：</w:t>
      </w:r>
      <w:r>
        <w:rPr>
          <w:rFonts w:hint="eastAsia" w:ascii="仿宋_GB2312" w:hAnsi="仿宋_GB2312" w:eastAsia="仿宋_GB2312" w:cs="仿宋_GB2312"/>
          <w:b/>
          <w:bCs/>
          <w:color w:val="0000FF"/>
          <w:sz w:val="32"/>
          <w:szCs w:val="32"/>
          <w:u w:val="dotted"/>
        </w:rPr>
        <w:t>电话955XX</w:t>
      </w:r>
      <w:r>
        <w:rPr>
          <w:rFonts w:hint="eastAsia" w:ascii="仿宋_GB2312" w:hAnsi="仿宋_GB2312" w:eastAsia="仿宋_GB2312" w:cs="仿宋_GB2312"/>
          <w:sz w:val="32"/>
          <w:szCs w:val="32"/>
        </w:rPr>
        <w:t>，超时报案处理规则：</w:t>
      </w:r>
      <w:r>
        <w:rPr>
          <w:rFonts w:hint="eastAsia" w:ascii="仿宋_GB2312" w:hAnsi="仿宋_GB2312" w:eastAsia="仿宋_GB2312" w:cs="仿宋_GB2312"/>
          <w:b/>
          <w:bCs/>
          <w:color w:val="0000FF"/>
          <w:sz w:val="32"/>
          <w:szCs w:val="32"/>
          <w:u w:val="dotted"/>
        </w:rPr>
        <w:t>超时报案不影响理赔，但需提供合理说明</w:t>
      </w:r>
      <w:r>
        <w:rPr>
          <w:rFonts w:hint="eastAsia" w:ascii="仿宋_GB2312" w:hAnsi="仿宋_GB2312" w:eastAsia="仿宋_GB2312" w:cs="仿宋_GB2312"/>
          <w:sz w:val="32"/>
          <w:szCs w:val="32"/>
        </w:rPr>
        <w:t>，是否影响理赔：</w:t>
      </w:r>
      <w:r>
        <w:rPr>
          <w:rFonts w:hint="eastAsia" w:ascii="仿宋_GB2312" w:hAnsi="仿宋_GB2312" w:eastAsia="仿宋_GB2312" w:cs="仿宋_GB2312"/>
          <w:b/>
          <w:bCs/>
          <w:color w:val="0000FF"/>
          <w:sz w:val="32"/>
          <w:szCs w:val="32"/>
          <w:u w:val="dotted"/>
          <w:lang w:val="en-US" w:eastAsia="zh-CN"/>
        </w:rPr>
        <w:t>影响/</w:t>
      </w:r>
      <w:r>
        <w:rPr>
          <w:rFonts w:hint="eastAsia" w:ascii="仿宋_GB2312" w:hAnsi="仿宋_GB2312" w:eastAsia="仿宋_GB2312" w:cs="仿宋_GB2312"/>
          <w:b/>
          <w:bCs/>
          <w:color w:val="0000FF"/>
          <w:sz w:val="32"/>
          <w:szCs w:val="32"/>
          <w:u w:val="dotted"/>
        </w:rPr>
        <w:t>不影响。</w:t>
      </w:r>
    </w:p>
    <w:p w14:paraId="4F5A57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五、若我公司中标后未按本承诺函内容履行，贵院有权单方解除合同，并向我公司索赔由此造成的全部损失。</w:t>
      </w:r>
    </w:p>
    <w:p w14:paraId="26F30C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172135C2">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left"/>
        <w:textAlignment w:val="auto"/>
        <w:rPr>
          <w:rFonts w:hint="eastAsia" w:ascii="仿宋_GB2312" w:hAnsi="仿宋_GB2312" w:eastAsia="仿宋_GB2312" w:cs="仿宋_GB2312"/>
          <w:sz w:val="32"/>
          <w:szCs w:val="32"/>
        </w:rPr>
      </w:pPr>
    </w:p>
    <w:p w14:paraId="45150077">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响应人（盖章）：</w:t>
      </w:r>
    </w:p>
    <w:p w14:paraId="3999E5E9">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法定代表人或授权代表（签字）：</w:t>
      </w:r>
    </w:p>
    <w:p w14:paraId="052D97D3">
      <w:pPr>
        <w:keepNext w:val="0"/>
        <w:keepLines w:val="0"/>
        <w:pageBreakBefore w:val="0"/>
        <w:widowControl w:val="0"/>
        <w:kinsoku/>
        <w:wordWrap/>
        <w:overflowPunct/>
        <w:topLinePunct w:val="0"/>
        <w:autoSpaceDE/>
        <w:autoSpaceDN/>
        <w:bidi w:val="0"/>
        <w:adjustRightInd/>
        <w:snapToGrid/>
        <w:spacing w:line="560" w:lineRule="exact"/>
        <w:ind w:firstLine="5760" w:firstLineChars="18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日期：___年___月___日</w:t>
      </w:r>
    </w:p>
    <w:p w14:paraId="7ABDA1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kern w:val="2"/>
          <w:sz w:val="32"/>
          <w:szCs w:val="32"/>
          <w:lang w:val="en-US" w:eastAsia="zh-CN" w:bidi="ar-SA"/>
        </w:rPr>
      </w:pPr>
      <w:r>
        <w:rPr>
          <w:rFonts w:hint="default" w:ascii="仿宋_GB2312" w:hAnsi="仿宋_GB2312" w:eastAsia="仿宋_GB2312" w:cs="仿宋_GB2312"/>
          <w:b w:val="0"/>
          <w:bCs w:val="0"/>
          <w:kern w:val="2"/>
          <w:sz w:val="32"/>
          <w:szCs w:val="32"/>
          <w:lang w:val="en-US" w:eastAsia="zh-CN" w:bidi="ar-SA"/>
        </w:rPr>
        <w:t>补充说明</w:t>
      </w:r>
      <w:r>
        <w:rPr>
          <w:rFonts w:hint="eastAsia" w:ascii="仿宋_GB2312" w:hAnsi="仿宋_GB2312" w:eastAsia="仿宋_GB2312" w:cs="仿宋_GB2312"/>
          <w:b w:val="0"/>
          <w:bCs w:val="0"/>
          <w:kern w:val="2"/>
          <w:sz w:val="32"/>
          <w:szCs w:val="32"/>
          <w:lang w:val="en-US" w:eastAsia="zh-CN" w:bidi="ar-SA"/>
        </w:rPr>
        <w:t>：</w:t>
      </w:r>
    </w:p>
    <w:p w14:paraId="5EE15B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1.《承保范围及特别约定承诺函》中括号内斜体/加粗部分为填写示例，供应商填写时可删除示例文字，根据自身实际条款如实填写。</w:t>
      </w:r>
    </w:p>
    <w:p w14:paraId="41E558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pPr>
      <w:r>
        <w:rPr>
          <w:rFonts w:hint="eastAsia" w:ascii="仿宋_GB2312" w:hAnsi="仿宋_GB2312" w:eastAsia="仿宋_GB2312" w:cs="仿宋_GB2312"/>
          <w:b w:val="0"/>
          <w:bCs w:val="0"/>
          <w:kern w:val="2"/>
          <w:sz w:val="32"/>
          <w:szCs w:val="32"/>
          <w:lang w:val="en-US" w:eastAsia="zh-CN" w:bidi="ar-SA"/>
        </w:rPr>
        <w:t>2.若供应商标准条款与示例不一致，以供应商如实填写内容为准。</w:t>
      </w:r>
    </w:p>
    <w:p w14:paraId="4473FD4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sectPr>
      <w:headerReference r:id="rId3" w:type="default"/>
      <w:footerReference r:id="rId4" w:type="default"/>
      <w:pgSz w:w="11906" w:h="16838"/>
      <w:pgMar w:top="1417" w:right="1134"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759E6">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EB9FD">
                          <w:pPr>
                            <w:pStyle w:val="4"/>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02EB9FD">
                    <w:pPr>
                      <w:pStyle w:val="4"/>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54544">
    <w:pPr>
      <w:pStyle w:val="5"/>
      <w:tabs>
        <w:tab w:val="left" w:pos="2294"/>
        <w:tab w:val="clear" w:pos="4153"/>
      </w:tabs>
      <w:jc w:val="center"/>
      <w:rPr>
        <w:rFonts w:ascii="方正小标宋简体" w:hAnsi="方正小标宋简体" w:eastAsia="方正小标宋简体" w:cs="方正小标宋简体"/>
        <w:bCs/>
        <w:color w:val="1F4E79"/>
        <w:sz w:val="36"/>
        <w:szCs w:val="15"/>
      </w:rPr>
    </w:pPr>
    <w:r>
      <w:rPr>
        <w:rFonts w:hint="eastAsia" w:ascii="仿宋_GB2312" w:eastAsia="仿宋_GB2312"/>
      </w:rPr>
      <w:drawing>
        <wp:anchor distT="0" distB="0" distL="114300" distR="114300" simplePos="0" relativeHeight="251660288" behindDoc="0" locked="0" layoutInCell="1" allowOverlap="1">
          <wp:simplePos x="0" y="0"/>
          <wp:positionH relativeFrom="column">
            <wp:posOffset>354330</wp:posOffset>
          </wp:positionH>
          <wp:positionV relativeFrom="paragraph">
            <wp:posOffset>-164465</wp:posOffset>
          </wp:positionV>
          <wp:extent cx="527685" cy="491490"/>
          <wp:effectExtent l="0" t="0" r="5715" b="3810"/>
          <wp:wrapNone/>
          <wp:docPr id="3" name="图片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Grp="1" noChangeAspect="1"/>
                  </pic:cNvPicPr>
                </pic:nvPicPr>
                <pic:blipFill>
                  <a:blip r:embed="rId1"/>
                  <a:stretch>
                    <a:fillRect/>
                  </a:stretch>
                </pic:blipFill>
                <pic:spPr>
                  <a:xfrm>
                    <a:off x="0" y="0"/>
                    <a:ext cx="527685" cy="491490"/>
                  </a:xfrm>
                  <a:prstGeom prst="rect">
                    <a:avLst/>
                  </a:prstGeom>
                  <a:noFill/>
                  <a:ln>
                    <a:noFill/>
                  </a:ln>
                </pic:spPr>
              </pic:pic>
            </a:graphicData>
          </a:graphic>
        </wp:anchor>
      </w:drawing>
    </w:r>
    <w:r>
      <w:rPr>
        <w:rFonts w:hint="eastAsia" w:ascii="方正小标宋简体" w:hAnsi="方正小标宋简体" w:eastAsia="方正小标宋简体" w:cs="方正小标宋简体"/>
        <w:bCs/>
        <w:color w:val="1F4E79"/>
        <w:sz w:val="36"/>
        <w:szCs w:val="15"/>
      </w:rPr>
      <w:t>融</w:t>
    </w:r>
    <w:r>
      <w:rPr>
        <w:rFonts w:hint="eastAsia" w:ascii="方正小标宋简体" w:hAnsi="方正小标宋简体" w:eastAsia="方正小标宋简体" w:cs="方正小标宋简体"/>
        <w:bCs/>
        <w:color w:val="1F4E79"/>
        <w:sz w:val="36"/>
        <w:szCs w:val="15"/>
        <w:lang w:val="en-US" w:eastAsia="zh-CN"/>
      </w:rPr>
      <w:t xml:space="preserve"> </w:t>
    </w:r>
    <w:r>
      <w:rPr>
        <w:rFonts w:hint="eastAsia" w:ascii="方正小标宋简体" w:hAnsi="方正小标宋简体" w:eastAsia="方正小标宋简体" w:cs="方正小标宋简体"/>
        <w:bCs/>
        <w:color w:val="1F4E79"/>
        <w:sz w:val="36"/>
        <w:szCs w:val="15"/>
      </w:rPr>
      <w:t>水</w:t>
    </w:r>
    <w:r>
      <w:rPr>
        <w:rFonts w:hint="eastAsia" w:ascii="方正小标宋简体" w:hAnsi="方正小标宋简体" w:eastAsia="方正小标宋简体" w:cs="方正小标宋简体"/>
        <w:bCs/>
        <w:color w:val="1F4E79"/>
        <w:sz w:val="36"/>
        <w:szCs w:val="15"/>
        <w:lang w:val="en-US" w:eastAsia="zh-CN"/>
      </w:rPr>
      <w:t xml:space="preserve"> </w:t>
    </w:r>
    <w:r>
      <w:rPr>
        <w:rFonts w:hint="eastAsia" w:ascii="方正小标宋简体" w:hAnsi="方正小标宋简体" w:eastAsia="方正小标宋简体" w:cs="方正小标宋简体"/>
        <w:bCs/>
        <w:color w:val="1F4E79"/>
        <w:sz w:val="36"/>
        <w:szCs w:val="15"/>
      </w:rPr>
      <w:t>苗</w:t>
    </w:r>
    <w:r>
      <w:rPr>
        <w:rFonts w:hint="eastAsia" w:ascii="方正小标宋简体" w:hAnsi="方正小标宋简体" w:eastAsia="方正小标宋简体" w:cs="方正小标宋简体"/>
        <w:bCs/>
        <w:color w:val="1F4E79"/>
        <w:sz w:val="36"/>
        <w:szCs w:val="15"/>
        <w:lang w:val="en-US" w:eastAsia="zh-CN"/>
      </w:rPr>
      <w:t xml:space="preserve"> </w:t>
    </w:r>
    <w:r>
      <w:rPr>
        <w:rFonts w:hint="eastAsia" w:ascii="方正小标宋简体" w:hAnsi="方正小标宋简体" w:eastAsia="方正小标宋简体" w:cs="方正小标宋简体"/>
        <w:bCs/>
        <w:color w:val="1F4E79"/>
        <w:sz w:val="36"/>
        <w:szCs w:val="15"/>
      </w:rPr>
      <w:t>族</w:t>
    </w:r>
    <w:r>
      <w:rPr>
        <w:rFonts w:hint="eastAsia" w:ascii="方正小标宋简体" w:hAnsi="方正小标宋简体" w:eastAsia="方正小标宋简体" w:cs="方正小标宋简体"/>
        <w:bCs/>
        <w:color w:val="1F4E79"/>
        <w:sz w:val="36"/>
        <w:szCs w:val="15"/>
        <w:lang w:val="en-US" w:eastAsia="zh-CN"/>
      </w:rPr>
      <w:t xml:space="preserve"> </w:t>
    </w:r>
    <w:r>
      <w:rPr>
        <w:rFonts w:hint="eastAsia" w:ascii="方正小标宋简体" w:hAnsi="方正小标宋简体" w:eastAsia="方正小标宋简体" w:cs="方正小标宋简体"/>
        <w:bCs/>
        <w:color w:val="1F4E79"/>
        <w:sz w:val="36"/>
        <w:szCs w:val="15"/>
      </w:rPr>
      <w:t>自</w:t>
    </w:r>
    <w:r>
      <w:rPr>
        <w:rFonts w:hint="eastAsia" w:ascii="方正小标宋简体" w:hAnsi="方正小标宋简体" w:eastAsia="方正小标宋简体" w:cs="方正小标宋简体"/>
        <w:bCs/>
        <w:color w:val="1F4E79"/>
        <w:sz w:val="36"/>
        <w:szCs w:val="15"/>
        <w:lang w:val="en-US" w:eastAsia="zh-CN"/>
      </w:rPr>
      <w:t xml:space="preserve"> </w:t>
    </w:r>
    <w:r>
      <w:rPr>
        <w:rFonts w:hint="eastAsia" w:ascii="方正小标宋简体" w:hAnsi="方正小标宋简体" w:eastAsia="方正小标宋简体" w:cs="方正小标宋简体"/>
        <w:bCs/>
        <w:color w:val="1F4E79"/>
        <w:sz w:val="36"/>
        <w:szCs w:val="15"/>
      </w:rPr>
      <w:t>治</w:t>
    </w:r>
    <w:r>
      <w:rPr>
        <w:rFonts w:hint="eastAsia" w:ascii="方正小标宋简体" w:hAnsi="方正小标宋简体" w:eastAsia="方正小标宋简体" w:cs="方正小标宋简体"/>
        <w:bCs/>
        <w:color w:val="1F4E79"/>
        <w:sz w:val="36"/>
        <w:szCs w:val="15"/>
        <w:lang w:val="en-US" w:eastAsia="zh-CN"/>
      </w:rPr>
      <w:t xml:space="preserve"> </w:t>
    </w:r>
    <w:r>
      <w:rPr>
        <w:rFonts w:hint="eastAsia" w:ascii="方正小标宋简体" w:hAnsi="方正小标宋简体" w:eastAsia="方正小标宋简体" w:cs="方正小标宋简体"/>
        <w:bCs/>
        <w:color w:val="1F4E79"/>
        <w:sz w:val="36"/>
        <w:szCs w:val="15"/>
      </w:rPr>
      <w:t>县</w:t>
    </w:r>
    <w:r>
      <w:rPr>
        <w:rFonts w:hint="eastAsia" w:ascii="方正小标宋简体" w:hAnsi="方正小标宋简体" w:eastAsia="方正小标宋简体" w:cs="方正小标宋简体"/>
        <w:bCs/>
        <w:color w:val="1F4E79"/>
        <w:sz w:val="36"/>
        <w:szCs w:val="15"/>
        <w:lang w:val="en-US" w:eastAsia="zh-CN"/>
      </w:rPr>
      <w:t xml:space="preserve"> </w:t>
    </w:r>
    <w:r>
      <w:rPr>
        <w:rFonts w:hint="eastAsia" w:ascii="方正小标宋简体" w:hAnsi="方正小标宋简体" w:eastAsia="方正小标宋简体" w:cs="方正小标宋简体"/>
        <w:bCs/>
        <w:color w:val="1F4E79"/>
        <w:sz w:val="36"/>
        <w:szCs w:val="15"/>
      </w:rPr>
      <w:t>人</w:t>
    </w:r>
    <w:r>
      <w:rPr>
        <w:rFonts w:hint="eastAsia" w:ascii="方正小标宋简体" w:hAnsi="方正小标宋简体" w:eastAsia="方正小标宋简体" w:cs="方正小标宋简体"/>
        <w:bCs/>
        <w:color w:val="1F4E79"/>
        <w:sz w:val="36"/>
        <w:szCs w:val="15"/>
        <w:lang w:val="en-US" w:eastAsia="zh-CN"/>
      </w:rPr>
      <w:t xml:space="preserve"> </w:t>
    </w:r>
    <w:r>
      <w:rPr>
        <w:rFonts w:hint="eastAsia" w:ascii="方正小标宋简体" w:hAnsi="方正小标宋简体" w:eastAsia="方正小标宋简体" w:cs="方正小标宋简体"/>
        <w:bCs/>
        <w:color w:val="1F4E79"/>
        <w:sz w:val="36"/>
        <w:szCs w:val="15"/>
      </w:rPr>
      <w:t>民</w:t>
    </w:r>
    <w:r>
      <w:rPr>
        <w:rFonts w:hint="eastAsia" w:ascii="方正小标宋简体" w:hAnsi="方正小标宋简体" w:eastAsia="方正小标宋简体" w:cs="方正小标宋简体"/>
        <w:bCs/>
        <w:color w:val="1F4E79"/>
        <w:sz w:val="36"/>
        <w:szCs w:val="15"/>
        <w:lang w:val="en-US" w:eastAsia="zh-CN"/>
      </w:rPr>
      <w:t xml:space="preserve"> </w:t>
    </w:r>
    <w:r>
      <w:rPr>
        <w:rFonts w:hint="eastAsia" w:ascii="方正小标宋简体" w:hAnsi="方正小标宋简体" w:eastAsia="方正小标宋简体" w:cs="方正小标宋简体"/>
        <w:bCs/>
        <w:color w:val="1F4E79"/>
        <w:sz w:val="36"/>
        <w:szCs w:val="15"/>
      </w:rPr>
      <w:t>医</w:t>
    </w:r>
    <w:r>
      <w:rPr>
        <w:rFonts w:hint="eastAsia" w:ascii="方正小标宋简体" w:hAnsi="方正小标宋简体" w:eastAsia="方正小标宋简体" w:cs="方正小标宋简体"/>
        <w:bCs/>
        <w:color w:val="1F4E79"/>
        <w:sz w:val="36"/>
        <w:szCs w:val="15"/>
        <w:lang w:val="en-US" w:eastAsia="zh-CN"/>
      </w:rPr>
      <w:t xml:space="preserve"> </w:t>
    </w:r>
    <w:r>
      <w:rPr>
        <w:rFonts w:hint="eastAsia" w:ascii="方正小标宋简体" w:hAnsi="方正小标宋简体" w:eastAsia="方正小标宋简体" w:cs="方正小标宋简体"/>
        <w:bCs/>
        <w:color w:val="1F4E79"/>
        <w:sz w:val="36"/>
        <w:szCs w:val="15"/>
      </w:rPr>
      <w:t>院</w:t>
    </w:r>
    <w:r>
      <w:rPr>
        <w:rFonts w:ascii="方正小标宋简体" w:hAnsi="方正小标宋简体" w:eastAsia="方正小标宋简体" w:cs="方正小标宋简体"/>
        <w:sz w:val="44"/>
        <w:szCs w:val="44"/>
      </w:rPr>
      <mc:AlternateContent>
        <mc:Choice Requires="wps">
          <w:drawing>
            <wp:anchor distT="0" distB="0" distL="114300" distR="114300" simplePos="0" relativeHeight="251659264" behindDoc="0" locked="0" layoutInCell="1" allowOverlap="1">
              <wp:simplePos x="0" y="0"/>
              <wp:positionH relativeFrom="column">
                <wp:posOffset>85090</wp:posOffset>
              </wp:positionH>
              <wp:positionV relativeFrom="paragraph">
                <wp:posOffset>354965</wp:posOffset>
              </wp:positionV>
              <wp:extent cx="5772150" cy="9525"/>
              <wp:effectExtent l="0" t="0" r="0" b="0"/>
              <wp:wrapNone/>
              <wp:docPr id="4" name="直接连接符 4"/>
              <wp:cNvGraphicFramePr/>
              <a:graphic xmlns:a="http://schemas.openxmlformats.org/drawingml/2006/main">
                <a:graphicData uri="http://schemas.microsoft.com/office/word/2010/wordprocessingShape">
                  <wps:wsp>
                    <wps:cNvCnPr/>
                    <wps:spPr>
                      <a:xfrm>
                        <a:off x="0" y="0"/>
                        <a:ext cx="5772150" cy="9525"/>
                      </a:xfrm>
                      <a:prstGeom prst="line">
                        <a:avLst/>
                      </a:prstGeom>
                      <a:ln w="19050" cap="flat" cmpd="sng">
                        <a:solidFill>
                          <a:srgbClr val="10273D"/>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6.7pt;margin-top:27.95pt;height:0.75pt;width:454.5pt;z-index:251659264;mso-width-relative:page;mso-height-relative:page;" filled="f" stroked="t" coordsize="21600,21600" o:gfxdata="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1RFQnVAAAACAEAAA8AAAAAAAAAAQAgAAAAIgAAAGRycy9kb3ducmV2&#10;LnhtbFBLAQIUABQAAAAIAIdO4kCcsrlT/wEAAPIDAAAOAAAAAAAAAAEAIAAAACQBAABkcnMvZTJv&#10;RG9jLnhtbFBLBQYAAAAABgAGAFkBAACVBQAAAAA=&#10;">
              <v:fill on="f" focussize="0,0"/>
              <v:stroke weight="1.5pt" color="#10273D" joinstyle="miter"/>
              <v:imagedata o:title=""/>
              <o:lock v:ext="edit" aspectratio="f"/>
            </v:line>
          </w:pict>
        </mc:Fallback>
      </mc:AlternateContent>
    </w:r>
  </w:p>
  <w:p w14:paraId="3F730B2C">
    <w:pPr>
      <w:pStyle w:val="5"/>
    </w:pPr>
  </w:p>
  <w:p w14:paraId="2D63D6A9">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396BC2"/>
    <w:rsid w:val="0CD14F25"/>
    <w:rsid w:val="18424AD2"/>
    <w:rsid w:val="1BF12E6D"/>
    <w:rsid w:val="1D8077FF"/>
    <w:rsid w:val="43357E59"/>
    <w:rsid w:val="6C521587"/>
    <w:rsid w:val="6F91689D"/>
    <w:rsid w:val="72910C91"/>
    <w:rsid w:val="77114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pPr>
    <w:rPr>
      <w:color w:val="000000"/>
      <w:sz w:val="24"/>
    </w:rPr>
  </w:style>
  <w:style w:type="paragraph" w:styleId="3">
    <w:name w:val="Body Text Indent"/>
    <w:basedOn w:val="1"/>
    <w:next w:val="2"/>
    <w:qFormat/>
    <w:uiPriority w:val="0"/>
    <w:pPr>
      <w:spacing w:after="120"/>
      <w:ind w:left="42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1714</Words>
  <Characters>1826</Characters>
  <Lines>0</Lines>
  <Paragraphs>0</Paragraphs>
  <TotalTime>0</TotalTime>
  <ScaleCrop>false</ScaleCrop>
  <LinksUpToDate>false</LinksUpToDate>
  <CharactersWithSpaces>1827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2025-10-21T13:03:00Z</dcterms:created>
  <dc:creator>Administrator</dc:creator>
  <cp:lastModifiedBy>yuduo</cp:lastModifiedBy>
  <dcterms:modified xsi:type="dcterms:W3CDTF">2026-10-10T09:57:17Z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93840E4EFA3A49F9A4D62EA98DAEDE04</vt:lpwstr>
  </property>
  <property fmtid="{D5CDD505-2E9C-101B-9397-08002B2CF9AE}" pid="4" name="KSOTemplateDocerSaveRecord">
    <vt:lpwstr>eyJoZGlkIjoiMmJmNTZmNTM1ZDgxOTI1MzVlOWI4YTA0ZTFhMTNiYzgiLCJ1c2VySWQiOiI1NjczMTkyNDYifQ==</vt:lpwstr>
  </property>
</Properties>
</file>