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2351B">
      <w:pPr>
        <w:spacing w:after="1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融水苗族自治县人民医院</w:t>
      </w:r>
    </w:p>
    <w:p w14:paraId="1F380A1C">
      <w:pPr>
        <w:spacing w:after="3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院内配餐场地公开招租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市场调研询价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公告</w:t>
      </w:r>
    </w:p>
    <w:p w14:paraId="01BF3FE2">
      <w:pPr>
        <w:spacing w:after="200" w:line="360" w:lineRule="auto"/>
        <w:ind w:firstLine="48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我院拟将院内指定配餐场地对外公开招租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开展市场调研询价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，引入具备资质的第三方餐饮服务机构开展配餐经营业务。本项目已经医院院长办公会审议通过，</w:t>
      </w:r>
      <w:r>
        <w:rPr>
          <w:rFonts w:hint="eastAsia"/>
          <w:lang w:val="en-US" w:eastAsia="zh-CN"/>
        </w:rPr>
        <w:t>乙方仅租赁场地独立经营配餐业务，不涉及医疗诊疗活动，不属于医疗科室承包，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现欢迎符合资质要求的供应商参与报价。</w:t>
      </w:r>
    </w:p>
    <w:p w14:paraId="6896CE3B">
      <w:pPr>
        <w:pStyle w:val="3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一、项目基本情况</w:t>
      </w:r>
    </w:p>
    <w:tbl>
      <w:tblPr>
        <w:tblStyle w:val="12"/>
        <w:tblW w:w="9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2200"/>
        <w:gridCol w:w="5026"/>
      </w:tblGrid>
      <w:tr w14:paraId="0240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77A33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2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1EEF7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502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2776D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具体内容</w:t>
            </w:r>
          </w:p>
        </w:tc>
      </w:tr>
      <w:tr w14:paraId="0B49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9C4701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1982F7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502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855EDA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融水苗族自治县人民医院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院内配餐场地出租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</w:t>
            </w:r>
          </w:p>
        </w:tc>
      </w:tr>
      <w:tr w14:paraId="35A6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8EC9BA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22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E85C5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场地位置及面积</w:t>
            </w:r>
          </w:p>
        </w:tc>
        <w:tc>
          <w:tcPr>
            <w:tcW w:w="502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F53DA0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医院院内指定配餐点场地，面积约25m²（仅作售卖、分餐使用，无烹饪功能）</w:t>
            </w:r>
          </w:p>
        </w:tc>
      </w:tr>
      <w:tr w14:paraId="7514C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EFA787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22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D7E214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租赁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期限</w:t>
            </w:r>
          </w:p>
        </w:tc>
        <w:tc>
          <w:tcPr>
            <w:tcW w:w="502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07AEB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3年（合同一年一签，年度考核合格后方可续签下一年度合同）</w:t>
            </w:r>
          </w:p>
        </w:tc>
      </w:tr>
      <w:tr w14:paraId="0CBEC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FB9679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22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DE9DF4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租金底价</w:t>
            </w:r>
          </w:p>
        </w:tc>
        <w:tc>
          <w:tcPr>
            <w:tcW w:w="502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26CA3F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年租金底价不低于人民币60,000.00元（即每月不低于5,000.00元）</w:t>
            </w:r>
          </w:p>
        </w:tc>
      </w:tr>
      <w:tr w14:paraId="6EC6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0BE35B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22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8336F7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费用结算</w:t>
            </w:r>
          </w:p>
        </w:tc>
        <w:tc>
          <w:tcPr>
            <w:tcW w:w="502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F81B45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租金按月缴纳；水、电、燃气费用按实际使用量单独据实结算</w:t>
            </w:r>
          </w:p>
        </w:tc>
      </w:tr>
      <w:tr w14:paraId="21C95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EB9463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22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6649C2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经营范围</w:t>
            </w:r>
          </w:p>
        </w:tc>
        <w:tc>
          <w:tcPr>
            <w:tcW w:w="502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A15E8B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预包装食品、冷热饮品、半成品餐食售卖；不得从事明火烹饪作业</w:t>
            </w:r>
          </w:p>
        </w:tc>
      </w:tr>
      <w:tr w14:paraId="36E8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AA749D"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2200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630E68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准入要求</w:t>
            </w:r>
          </w:p>
        </w:tc>
        <w:tc>
          <w:tcPr>
            <w:tcW w:w="502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5D4393"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具备独立法人资格、有效《食品经营许可证》、近三年无重大食品安全事故</w:t>
            </w:r>
          </w:p>
        </w:tc>
      </w:tr>
    </w:tbl>
    <w:p w14:paraId="512ED7AD">
      <w:pPr>
        <w:spacing w:after="100"/>
        <w:rPr>
          <w:rFonts w:hint="eastAsia" w:asciiTheme="minorEastAsia" w:hAnsiTheme="minorEastAsia" w:eastAsiaTheme="minorEastAsia" w:cstheme="minorEastAsia"/>
        </w:rPr>
      </w:pPr>
    </w:p>
    <w:p w14:paraId="5DF692DE">
      <w:pPr>
        <w:pStyle w:val="3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二、承包费用说明</w:t>
      </w:r>
    </w:p>
    <w:p w14:paraId="7F182096">
      <w:pPr>
        <w:pStyle w:val="18"/>
        <w:numPr>
          <w:ilvl w:val="0"/>
          <w:numId w:val="1"/>
        </w:numPr>
        <w:spacing w:after="80"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供应商须按月向医院缴纳租金，报价低于5,000元/月的响应文件按无效处理。</w:t>
      </w:r>
    </w:p>
    <w:p w14:paraId="3A888867">
      <w:pPr>
        <w:pStyle w:val="18"/>
        <w:numPr>
          <w:ilvl w:val="0"/>
          <w:numId w:val="1"/>
        </w:numPr>
        <w:spacing w:after="80"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在满足资质要求的前提下，报价最高者为中选候选人。</w:t>
      </w:r>
    </w:p>
    <w:p w14:paraId="32CB94A2">
      <w:pPr>
        <w:pStyle w:val="18"/>
        <w:numPr>
          <w:ilvl w:val="0"/>
          <w:numId w:val="1"/>
        </w:numPr>
        <w:spacing w:after="80"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餐食制作、食材采购、包装、场外运输、人员薪酬、餐具消杀、税费等所有运营成本均由供应商自行承担，不列入报价范围。</w:t>
      </w:r>
    </w:p>
    <w:p w14:paraId="49D2C767">
      <w:pPr>
        <w:pStyle w:val="18"/>
        <w:numPr>
          <w:ilvl w:val="0"/>
          <w:numId w:val="1"/>
        </w:numPr>
        <w:spacing w:after="80"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职工餐、患者餐、陪护餐餐食价格由供应商自主制定，不得高于同期市场公允价格，由供应商自行向就餐人员收取，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医院除按合同约定收取租金及水电气费外，不另行收取其他费用。</w:t>
      </w:r>
    </w:p>
    <w:p w14:paraId="41034721">
      <w:pPr>
        <w:widowControl/>
        <w:spacing w:before="100" w:beforeAutospacing="1" w:after="100" w:afterAutospacing="1"/>
        <w:jc w:val="center"/>
        <w:outlineLvl w:val="1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、</w:t>
      </w:r>
      <w:r>
        <w:rPr>
          <w:b/>
          <w:bCs/>
          <w:color w:val="000000"/>
          <w:sz w:val="24"/>
          <w:szCs w:val="24"/>
        </w:rPr>
        <w:t>服务管理要求</w:t>
      </w:r>
      <w:r>
        <w:rPr>
          <w:rFonts w:hint="eastAsia"/>
          <w:color w:val="00000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详见附件</w:t>
      </w:r>
      <w:r>
        <w:rPr>
          <w:rFonts w:hint="eastAsia"/>
          <w:color w:val="000000"/>
          <w:sz w:val="24"/>
          <w:szCs w:val="24"/>
          <w:lang w:val="en-US" w:eastAsia="zh-CN"/>
        </w:rPr>
        <w:t>--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融水苗族自治县人民医院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院内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配餐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场地公开招租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服务</w:t>
      </w:r>
    </w:p>
    <w:p w14:paraId="3A1FDCAD">
      <w:pPr>
        <w:widowControl/>
        <w:spacing w:before="100" w:beforeAutospacing="1" w:after="100" w:afterAutospacing="1"/>
        <w:jc w:val="both"/>
        <w:outlineLvl w:val="1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需求</w:t>
      </w:r>
    </w:p>
    <w:p w14:paraId="09B02251">
      <w:pPr>
        <w:pStyle w:val="3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</w:rPr>
        <w:t>、供应商资质要求</w:t>
      </w:r>
    </w:p>
    <w:p w14:paraId="3F7280E2">
      <w:pPr>
        <w:pStyle w:val="18"/>
        <w:numPr>
          <w:ilvl w:val="0"/>
          <w:numId w:val="0"/>
        </w:numPr>
        <w:spacing w:after="80" w:line="360" w:lineRule="auto"/>
        <w:ind w:left="360" w:left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主体资质：具有独立法人资格，持有有效营业执照，经营范围含餐饮服务、食堂管理等；取得医院所在地有效食品经营许可证，涉及集体用餐配送的，许可证主体业态需包含集体用餐配送单位，食品安全等级 B 级及以上优先。</w:t>
      </w:r>
    </w:p>
    <w:p w14:paraId="42E9616F">
      <w:pPr>
        <w:pStyle w:val="18"/>
        <w:numPr>
          <w:ilvl w:val="0"/>
          <w:numId w:val="0"/>
        </w:numPr>
        <w:spacing w:after="80" w:line="360" w:lineRule="auto"/>
        <w:ind w:left="360" w:left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信用要求：未被 “信用中国”“中国政府采购网” 列入失信被执行人、重大税收违法失信、政府采购严重违法失信名单；近 3 年无重大食品安全事故、违法违规经营记录及严重不良投诉。</w:t>
      </w:r>
    </w:p>
    <w:p w14:paraId="3C621EAB">
      <w:pPr>
        <w:pStyle w:val="18"/>
        <w:numPr>
          <w:ilvl w:val="0"/>
          <w:numId w:val="0"/>
        </w:numPr>
        <w:spacing w:after="80" w:line="360" w:lineRule="auto"/>
        <w:ind w:left="360" w:left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经验要求：具备餐饮服务管理经验，有医疗机构或大型企事业单位食堂承包经验者优先，需提供过往合作案例（合同复印件、服务评价等）。</w:t>
      </w:r>
    </w:p>
    <w:p w14:paraId="77229A88">
      <w:pPr>
        <w:pStyle w:val="18"/>
        <w:numPr>
          <w:ilvl w:val="0"/>
          <w:numId w:val="0"/>
        </w:numPr>
        <w:spacing w:after="80" w:line="360" w:lineRule="auto"/>
        <w:ind w:left="360" w:left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人员资质：配备厨师、营养师（或专业顾问）、食品安全管理员等专业团队；所有从业人员持有效健康证，厨师具备从业资格，食品安全管理员符合任职要求；人员无犯罪前科、无传染病及精神类疾病。</w:t>
      </w:r>
    </w:p>
    <w:p w14:paraId="24EE7F34">
      <w:pPr>
        <w:pStyle w:val="18"/>
        <w:numPr>
          <w:ilvl w:val="0"/>
          <w:numId w:val="0"/>
        </w:numPr>
        <w:spacing w:after="80" w:line="360" w:lineRule="auto"/>
        <w:ind w:left="360" w:left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其他要求：分支机构参与需提供法人授权书；单位负责人同一人或存在控股、管理关系的不同单位，不得同时参与；不接受联合体报价。本项目不允许转包、违法分包，供应商须全程自行履约，若发现转包或违法分包行为，医院有权立即终止合作，并将其列入不良合作名单。</w:t>
      </w:r>
    </w:p>
    <w:p w14:paraId="48BA5FD6">
      <w:pPr>
        <w:pStyle w:val="3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</w:rPr>
        <w:t>、报价文件要求</w:t>
      </w:r>
    </w:p>
    <w:p w14:paraId="09DBB300">
      <w:pPr>
        <w:spacing w:after="80"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报价文件须包含以下内容（均需加盖公章）：</w:t>
      </w:r>
    </w:p>
    <w:p w14:paraId="392BBEBC">
      <w:pPr>
        <w:pStyle w:val="18"/>
        <w:numPr>
          <w:ilvl w:val="0"/>
          <w:numId w:val="2"/>
        </w:numPr>
        <w:spacing w:after="80"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营业执照复印件、《食品经营许可证》复印件。</w:t>
      </w:r>
    </w:p>
    <w:p w14:paraId="10B4FF88">
      <w:pPr>
        <w:pStyle w:val="18"/>
        <w:numPr>
          <w:ilvl w:val="0"/>
          <w:numId w:val="2"/>
        </w:numPr>
        <w:spacing w:after="80"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法定代表人身份证明或授权委托书。</w:t>
      </w:r>
    </w:p>
    <w:p w14:paraId="00065796">
      <w:pPr>
        <w:pStyle w:val="18"/>
        <w:numPr>
          <w:ilvl w:val="0"/>
          <w:numId w:val="2"/>
        </w:numPr>
        <w:spacing w:after="80"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信用中国查询记录（近三年无重大违法记录）。</w:t>
      </w:r>
    </w:p>
    <w:p w14:paraId="7489995A">
      <w:pPr>
        <w:pStyle w:val="18"/>
        <w:numPr>
          <w:ilvl w:val="0"/>
          <w:numId w:val="2"/>
        </w:numPr>
        <w:spacing w:after="80"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报价单（明确月租金金额，格式自拟）。</w:t>
      </w:r>
    </w:p>
    <w:p w14:paraId="174BCD91">
      <w:pPr>
        <w:pStyle w:val="18"/>
        <w:numPr>
          <w:ilvl w:val="0"/>
          <w:numId w:val="2"/>
        </w:numPr>
        <w:spacing w:after="80"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配餐服务方案（含食品安全保障措施、供餐方案等）。</w:t>
      </w:r>
    </w:p>
    <w:p w14:paraId="41C2AFF7">
      <w:pPr>
        <w:pStyle w:val="3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市场调研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</w:rPr>
        <w:t>报价文件递交</w:t>
      </w:r>
    </w:p>
    <w:p w14:paraId="47E11D7A">
      <w:pPr>
        <w:pStyle w:val="3"/>
        <w:ind w:firstLine="240" w:firstLineChars="1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1. 递交截止时间：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日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分（北京时间）。</w:t>
      </w:r>
    </w:p>
    <w:p w14:paraId="6B6528A0">
      <w:pPr>
        <w:pStyle w:val="3"/>
        <w:ind w:firstLine="240" w:firstLineChars="1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2. 递交地点：融水苗族自治县人民医院后勤服务中心（地址：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9号楼2楼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）。</w:t>
      </w:r>
    </w:p>
    <w:p w14:paraId="3AB76B0A">
      <w:pPr>
        <w:pStyle w:val="3"/>
        <w:ind w:firstLine="240" w:firstLineChars="1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3. 递交方式：报价文件须密封包装，封面注明项目名称、供应商名称及“报价文件”字样，逾期送达或未密封的文件不予受理。</w:t>
      </w:r>
    </w:p>
    <w:p w14:paraId="6E214CD2">
      <w:pPr>
        <w:pStyle w:val="3"/>
        <w:ind w:firstLine="240" w:firstLineChars="1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报价文件一式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两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份，密封加盖公章，逾期不予受理。</w:t>
      </w:r>
    </w:p>
    <w:p w14:paraId="2C43177B">
      <w:pPr>
        <w:pStyle w:val="3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</w:rPr>
        <w:t>、特别说明</w:t>
      </w:r>
    </w:p>
    <w:p w14:paraId="488308ED">
      <w:pPr>
        <w:pStyle w:val="3"/>
        <w:ind w:firstLine="240" w:firstLineChars="1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1. 供应商须自行踏勘场地，评估25m²场地的经营可行性，医院不组织统一现场踏勘。</w:t>
      </w:r>
    </w:p>
    <w:p w14:paraId="3DAFDE47">
      <w:pPr>
        <w:pStyle w:val="3"/>
        <w:ind w:firstLine="240" w:firstLineChars="1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2. 医院仅提供场地，不参与经营管理，不承担食品安全责任。</w:t>
      </w:r>
    </w:p>
    <w:p w14:paraId="201DDD0C">
      <w:pPr>
        <w:pStyle w:val="3"/>
        <w:ind w:firstLine="240" w:firstLineChars="1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3. 中选供应商须缴纳履约保证金后方可签订合同，具体金额详见合同条款。</w:t>
      </w:r>
    </w:p>
    <w:p w14:paraId="458FB865">
      <w:pPr>
        <w:pStyle w:val="3"/>
        <w:ind w:firstLine="240" w:firstLineChars="1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4. 本项目租金收入纳入医院财务统一核算，实行“收支两条线”管理。</w:t>
      </w:r>
    </w:p>
    <w:p w14:paraId="53D45605">
      <w:pPr>
        <w:pStyle w:val="3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</w:rPr>
        <w:t>、联系方式</w:t>
      </w:r>
    </w:p>
    <w:p w14:paraId="7A8C4FFD">
      <w:pPr>
        <w:spacing w:after="80"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陈女士</w:t>
      </w:r>
    </w:p>
    <w:p w14:paraId="2F010516">
      <w:pPr>
        <w:spacing w:after="80"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13481778513</w:t>
      </w:r>
    </w:p>
    <w:p w14:paraId="1BB61150">
      <w:pPr>
        <w:spacing w:after="80"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联系地址：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融水苗族自治县人民医院后勤服务中心</w:t>
      </w:r>
    </w:p>
    <w:p w14:paraId="6C88C2EA">
      <w:pPr>
        <w:spacing w:after="200"/>
        <w:rPr>
          <w:rFonts w:hint="eastAsia" w:asciiTheme="minorEastAsia" w:hAnsiTheme="minorEastAsia" w:eastAsiaTheme="minorEastAsia" w:cstheme="minorEastAsia"/>
        </w:rPr>
      </w:pPr>
    </w:p>
    <w:p w14:paraId="17B5A486">
      <w:pPr>
        <w:spacing w:after="80"/>
        <w:jc w:val="righ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融水苗族自治县人民医院</w:t>
      </w:r>
    </w:p>
    <w:p w14:paraId="6CC96834">
      <w:pPr>
        <w:spacing w:after="80"/>
        <w:jc w:val="righ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enQuanYi Micro Hei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E753706"/>
    <w:rsid w:val="22427EBA"/>
    <w:rsid w:val="247E0B72"/>
    <w:rsid w:val="353137D5"/>
    <w:rsid w:val="35F5424C"/>
    <w:rsid w:val="36BD137C"/>
    <w:rsid w:val="42822EAB"/>
    <w:rsid w:val="503C735D"/>
    <w:rsid w:val="53F84A01"/>
    <w:rsid w:val="6EF87C05"/>
    <w:rsid w:val="79E456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WenQuanYi Micro Hei" w:hAnsi="WenQuanYi Micro Hei" w:eastAsia="WenQuanYi Micro Hei" w:cs="WenQuanYi Micro He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WenQuanYi Micro Hei" w:hAnsi="WenQuanYi Micro Hei" w:eastAsia="WenQuanYi Micro Hei" w:cs="WenQuanYi Micro Hei"/>
      <w:sz w:val="24"/>
      <w:szCs w:val="24"/>
    </w:rPr>
  </w:style>
  <w:style w:type="paragraph" w:styleId="2">
    <w:name w:val="heading 1"/>
    <w:next w:val="1"/>
    <w:qFormat/>
    <w:uiPriority w:val="0"/>
    <w:pPr>
      <w:spacing w:before="240" w:after="120"/>
      <w:jc w:val="center"/>
      <w:outlineLvl w:val="0"/>
    </w:pPr>
    <w:rPr>
      <w:rFonts w:ascii="WenQuanYi Micro Hei" w:hAnsi="WenQuanYi Micro Hei" w:eastAsia="WenQuanYi Micro Hei" w:cs="WenQuanYi Micro Hei"/>
      <w:b/>
      <w:bCs/>
      <w:sz w:val="32"/>
      <w:szCs w:val="32"/>
    </w:rPr>
  </w:style>
  <w:style w:type="paragraph" w:styleId="3">
    <w:name w:val="heading 2"/>
    <w:next w:val="1"/>
    <w:qFormat/>
    <w:uiPriority w:val="0"/>
    <w:pPr>
      <w:spacing w:before="200" w:after="100"/>
      <w:outlineLvl w:val="1"/>
    </w:pPr>
    <w:rPr>
      <w:rFonts w:ascii="WenQuanYi Micro Hei" w:hAnsi="WenQuanYi Micro Hei" w:eastAsia="WenQuanYi Micro Hei" w:cs="WenQuanYi Micro Hei"/>
      <w:b/>
      <w:bCs/>
      <w:sz w:val="28"/>
      <w:szCs w:val="28"/>
    </w:rPr>
  </w:style>
  <w:style w:type="paragraph" w:styleId="4">
    <w:name w:val="heading 3"/>
    <w:next w:val="1"/>
    <w:qFormat/>
    <w:uiPriority w:val="0"/>
    <w:rPr>
      <w:rFonts w:ascii="WenQuanYi Micro Hei" w:hAnsi="WenQuanYi Micro Hei" w:eastAsia="WenQuanYi Micro Hei" w:cs="WenQuanYi Micro Hei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WenQuanYi Micro Hei" w:hAnsi="WenQuanYi Micro Hei" w:eastAsia="WenQuanYi Micro Hei" w:cs="WenQuanYi Micro Hei"/>
      <w:i/>
      <w:iCs/>
      <w:color w:val="2E74B5"/>
      <w:sz w:val="24"/>
      <w:szCs w:val="24"/>
    </w:rPr>
  </w:style>
  <w:style w:type="paragraph" w:styleId="6">
    <w:name w:val="heading 5"/>
    <w:next w:val="1"/>
    <w:qFormat/>
    <w:uiPriority w:val="0"/>
    <w:rPr>
      <w:rFonts w:ascii="WenQuanYi Micro Hei" w:hAnsi="WenQuanYi Micro Hei" w:eastAsia="WenQuanYi Micro Hei" w:cs="WenQuanYi Micro Hei"/>
      <w:color w:val="2E74B5"/>
      <w:sz w:val="24"/>
      <w:szCs w:val="24"/>
    </w:rPr>
  </w:style>
  <w:style w:type="paragraph" w:styleId="7">
    <w:name w:val="heading 6"/>
    <w:next w:val="1"/>
    <w:qFormat/>
    <w:uiPriority w:val="0"/>
    <w:rPr>
      <w:rFonts w:ascii="WenQuanYi Micro Hei" w:hAnsi="WenQuanYi Micro Hei" w:eastAsia="WenQuanYi Micro Hei" w:cs="WenQuanYi Micro Hei"/>
      <w:color w:val="1F4D78"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endnote text"/>
    <w:link w:val="20"/>
    <w:semiHidden/>
    <w:unhideWhenUsed/>
    <w:qFormat/>
    <w:uiPriority w:val="99"/>
    <w:pPr>
      <w:spacing w:after="0" w:line="240" w:lineRule="auto"/>
    </w:pPr>
    <w:rPr>
      <w:rFonts w:ascii="WenQuanYi Micro Hei" w:hAnsi="WenQuanYi Micro Hei" w:eastAsia="WenQuanYi Micro Hei" w:cs="WenQuanYi Micro Hei"/>
      <w:sz w:val="20"/>
      <w:szCs w:val="20"/>
    </w:rPr>
  </w:style>
  <w:style w:type="paragraph" w:styleId="10">
    <w:name w:val="footnote text"/>
    <w:link w:val="19"/>
    <w:semiHidden/>
    <w:unhideWhenUsed/>
    <w:qFormat/>
    <w:uiPriority w:val="99"/>
    <w:pPr>
      <w:spacing w:after="0" w:line="240" w:lineRule="auto"/>
    </w:pPr>
    <w:rPr>
      <w:rFonts w:ascii="WenQuanYi Micro Hei" w:hAnsi="WenQuanYi Micro Hei" w:eastAsia="WenQuanYi Micro Hei" w:cs="WenQuanYi Micro Hei"/>
      <w:sz w:val="20"/>
      <w:szCs w:val="20"/>
    </w:rPr>
  </w:style>
  <w:style w:type="paragraph" w:styleId="11">
    <w:name w:val="Title"/>
    <w:qFormat/>
    <w:uiPriority w:val="0"/>
    <w:rPr>
      <w:rFonts w:ascii="WenQuanYi Micro Hei" w:hAnsi="WenQuanYi Micro Hei" w:eastAsia="WenQuanYi Micro Hei" w:cs="WenQuanYi Micro Hei"/>
      <w:sz w:val="56"/>
      <w:szCs w:val="56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ndnote reference"/>
    <w:semiHidden/>
    <w:unhideWhenUsed/>
    <w:qFormat/>
    <w:uiPriority w:val="99"/>
    <w:rPr>
      <w:vertAlign w:val="superscript"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qFormat/>
    <w:uiPriority w:val="0"/>
    <w:rPr>
      <w:rFonts w:ascii="WenQuanYi Micro Hei" w:hAnsi="WenQuanYi Micro Hei" w:eastAsia="WenQuanYi Micro Hei" w:cs="WenQuanYi Micro Hei"/>
      <w:sz w:val="24"/>
      <w:szCs w:val="24"/>
    </w:rPr>
  </w:style>
  <w:style w:type="character" w:customStyle="1" w:styleId="19">
    <w:name w:val="Footnote Text Char"/>
    <w:link w:val="10"/>
    <w:semiHidden/>
    <w:unhideWhenUsed/>
    <w:qFormat/>
    <w:uiPriority w:val="99"/>
    <w:rPr>
      <w:sz w:val="20"/>
      <w:szCs w:val="20"/>
    </w:rPr>
  </w:style>
  <w:style w:type="character" w:customStyle="1" w:styleId="20">
    <w:name w:val="Endnote Text Char"/>
    <w:link w:val="9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1574</Words>
  <Characters>1632</Characters>
  <TotalTime>11</TotalTime>
  <ScaleCrop>false</ScaleCrop>
  <LinksUpToDate>false</LinksUpToDate>
  <CharactersWithSpaces>1645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2026-06-25T00:56:00Z</dcterms:created>
  <dc:creator>Un-named</dc:creator>
  <cp:lastModifiedBy>无心人</cp:lastModifiedBy>
  <dcterms:modified xsi:type="dcterms:W3CDTF">2026-06-30T03:36:58Z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{"Label":"1","ContentProducer":"001191440300708461136T1WFUO","ProduceID":"d2a961513a4ffbaa7a9df029eabb5ea4-FoBC","ReservedCode1":"{\"Type\":\" TC260PG\",\"Version\":1,\"Bindings\":[{\"Type\":\"soft\",\"AlgID\":\"sm3\",\"Value\":\"cacff83226c3db10b04bfcf1a8dac12248607de3a4ff61515946cfecea39d12e\"},{\"Type\":\"hash\",\"AlgID\":\"sm3\",\"Value\":\"66814f15e996150d8681a71d3c3b77c93817390d4299d8fd1d3f2e15c648eac6\"}],\"PubSD\":[{\"Type\":\"DS\",\"AlgID\":\"sm2\",\"TBSData\":{\"Type\":\"Binding\",\"BType\":\"hash\"},\"Signature\":\"3046022100c567ee09e22b782ec4b5bb3f4a5a263d70ebd76e2cc49294cce3bb9ab3a897e402210097bea28a8865b5aebcce704c755c1576c7acaa10b407988999103340d4d9289c\"},{\"Type\":\"PubKey\",\"AlgID\":\"sm2\",\"KeyValue\":\"0407f79b28a17a752b3aae4305c98b48978213832729a2571850b1310b2bc9fe8fee039ccf25ebfeac27502414d9fcef792d777183c98893d226171c2f7a3289a2\"}],\"Extension\":{\"Timestamp\":1782348992,\"KeyVersion\":\"v1-TxLeOmf7bqU223\"}}","ContentPropagator":"001191440300708461136T1WFUO","PropagateID":"d2a961513a4ffbaa7a9df029eabb5ea4-FoBC","ReservedCode2":"{\"Type\":\" TC260PG\",\"Version\":1,\"Bindings\":[{\"Type\":\"soft\",\"AlgID\":\"sm3\",\"Value\":\"cacff83226c3db10b04bfcf1a8dac12248607de3a4ff61515946cfecea39d12e\"},{\"Type\":\"hash\",\"AlgID\":\"sm3\",\"Value\":\"66814f15e996150d8681a71d3c3b77c93817390d4299d8fd1d3f2e15c648eac6\"}],\"PubSD\":[{\"Type\":\"DS\",\"AlgID\":\"sm2\",\"TBSData\":{\"Type\":\"Binding\",\"BType\":\"hash\"},\"Signature\":\"304402203371d6e65041d97d9e96832ca8593d76cadcc64a95999ffc6df9a245ea109232022001eebc7b9395a841dcfbdc1eed5cfb85fe0e976518bd9d57c94d707ac71e3cbd\"},{\"Type\":\"PubKey\",\"AlgID\":\"sm2\",\"KeyValue\":\"0407f79b28a17a752b3aae4305c98b48978213832729a2571850b1310b2bc9fe8fee039ccf25ebfeac27502414d9fcef792d777183c98893d226171c2f7a3289a2\"}],\"Extension\":{\"Timestamp\":1782348992,\"KeyVersion\":\"v1-TxLeOmf7bqU223\"}}"}</vt:lpwstr>
  </property>
  <property fmtid="{D5CDD505-2E9C-101B-9397-08002B2CF9AE}" pid="3" name="KSOTemplateDocerSaveRecord">
    <vt:lpwstr>eyJoZGlkIjoiYjI0M2Y2ZWVhYjQ0YmI4NjQ4ZjNhYzhmYjE2MjllMTkiLCJ1c2VySWQiOiIzNDkxMzkxODgifQ==</vt:lpwstr>
  </property>
  <property fmtid="{D5CDD505-2E9C-101B-9397-08002B2CF9AE}" pid="4" name="KSOProductBuildVer">
    <vt:lpwstr>2052-12.1.0.24034</vt:lpwstr>
  </property>
  <property fmtid="{D5CDD505-2E9C-101B-9397-08002B2CF9AE}" pid="5" name="ICV">
    <vt:lpwstr>D0C42AB89F0242F6A01A8E2498DA6A4C_13</vt:lpwstr>
  </property>
</Properties>
</file>