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183682338"/>
      <w:bookmarkStart w:id="1" w:name="_Toc217446030"/>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left="1802" w:leftChars="342" w:hanging="1084" w:hangingChars="300"/>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项目名称：融水苗族自治县人民医院2025-2027年度审计（一年一审）服务采购项目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default"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w:t>
      </w:r>
      <w:r>
        <w:rPr>
          <w:rFonts w:hint="eastAsia" w:ascii="宋体" w:hAnsi="宋体" w:cs="宋体"/>
          <w:color w:val="auto"/>
          <w:sz w:val="36"/>
          <w:szCs w:val="36"/>
          <w:lang w:val="en-US" w:eastAsia="zh-CN"/>
        </w:rPr>
        <w:t>2026058</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7"/>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w:t>
      </w:r>
      <w:r>
        <w:rPr>
          <w:rFonts w:hint="eastAsia" w:ascii="宋体" w:hAnsi="宋体" w:cs="宋体"/>
          <w:color w:val="auto"/>
          <w:sz w:val="36"/>
          <w:szCs w:val="36"/>
          <w:lang w:val="en-US" w:eastAsia="zh-CN"/>
        </w:rPr>
        <w:t>6</w:t>
      </w:r>
      <w:r>
        <w:rPr>
          <w:rFonts w:hint="eastAsia" w:ascii="宋体" w:hAnsi="宋体" w:eastAsia="宋体" w:cs="宋体"/>
          <w:color w:val="auto"/>
          <w:sz w:val="36"/>
          <w:szCs w:val="36"/>
        </w:rPr>
        <w:t>年</w:t>
      </w:r>
      <w:r>
        <w:rPr>
          <w:rFonts w:hint="eastAsia" w:ascii="宋体" w:hAnsi="宋体" w:cs="宋体"/>
          <w:color w:val="auto"/>
          <w:sz w:val="36"/>
          <w:szCs w:val="36"/>
          <w:lang w:val="en-US" w:eastAsia="zh-CN"/>
        </w:rPr>
        <w:t xml:space="preserve">3 </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服务项目需求</w:t>
      </w:r>
      <w:r>
        <w:rPr>
          <w:rFonts w:hint="eastAsia" w:ascii="宋体" w:hAnsi="宋体" w:eastAsia="宋体" w:cs="宋体"/>
          <w:sz w:val="28"/>
          <w:szCs w:val="28"/>
        </w:rPr>
        <w:tab/>
      </w:r>
      <w:r>
        <w:rPr>
          <w:rFonts w:hint="eastAsia" w:cs="宋体"/>
          <w:sz w:val="28"/>
          <w:szCs w:val="28"/>
          <w:lang w:val="en-US" w:eastAsia="zh-CN"/>
        </w:rPr>
        <w:t>5</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ascii="宋体" w:hAnsi="宋体" w:eastAsia="宋体" w:cs="宋体"/>
          <w:color w:val="auto"/>
          <w:sz w:val="28"/>
          <w:szCs w:val="28"/>
          <w:highlight w:val="none"/>
        </w:rPr>
        <w:fldChar w:fldCharType="end"/>
      </w:r>
      <w:r>
        <w:rPr>
          <w:rFonts w:hint="eastAsia" w:cs="宋体"/>
          <w:color w:val="auto"/>
          <w:sz w:val="28"/>
          <w:szCs w:val="28"/>
          <w:highlight w:val="none"/>
          <w:lang w:val="en-US" w:eastAsia="zh-CN"/>
        </w:rPr>
        <w:t>7</w:t>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8</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9</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cs="宋体"/>
          <w:b/>
          <w:bCs/>
          <w:caps/>
          <w:kern w:val="2"/>
          <w:sz w:val="28"/>
          <w:szCs w:val="28"/>
          <w:lang w:val="en-US" w:eastAsia="zh-CN" w:bidi="ar-SA"/>
        </w:rPr>
        <w:t>及授权委托书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10</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2</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3</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5</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_Toc14295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6</w:t>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lang w:val="en-US" w:eastAsia="zh-CN"/>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_Toc19121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eastAsia="宋体" w:cs="宋体"/>
          <w:b/>
          <w:bCs/>
          <w:sz w:val="28"/>
          <w:szCs w:val="28"/>
        </w:rPr>
        <w:fldChar w:fldCharType="end"/>
      </w:r>
      <w:r>
        <w:rPr>
          <w:rFonts w:hint="eastAsia" w:ascii="宋体" w:hAnsi="宋体" w:eastAsia="宋体" w:cs="宋体"/>
          <w:b/>
          <w:bCs/>
          <w:color w:val="auto"/>
          <w:sz w:val="28"/>
          <w:szCs w:val="28"/>
          <w:highlight w:val="none"/>
        </w:rPr>
        <w:fldChar w:fldCharType="end"/>
      </w:r>
      <w:r>
        <w:rPr>
          <w:rFonts w:hint="eastAsia" w:ascii="宋体" w:hAnsi="宋体" w:cs="宋体"/>
          <w:b/>
          <w:bCs/>
          <w:color w:val="auto"/>
          <w:sz w:val="28"/>
          <w:szCs w:val="28"/>
          <w:highlight w:val="none"/>
          <w:lang w:val="en-US" w:eastAsia="zh-CN"/>
        </w:rPr>
        <w:t>7</w:t>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00342AEE">
      <w:pPr>
        <w:pStyle w:val="19"/>
        <w:rPr>
          <w:rFonts w:hint="eastAsia" w:ascii="宋体" w:hAnsi="宋体" w:eastAsia="宋体" w:cs="宋体"/>
          <w:color w:val="auto"/>
          <w:sz w:val="32"/>
          <w:szCs w:val="32"/>
          <w:highlight w:val="none"/>
        </w:rPr>
      </w:pPr>
    </w:p>
    <w:p w14:paraId="1D07C215">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9971"/>
      <w:bookmarkStart w:id="3" w:name="_Toc29532"/>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1604EF61">
      <w:pPr>
        <w:snapToGrid w:val="0"/>
        <w:spacing w:line="360" w:lineRule="auto"/>
        <w:ind w:left="1802" w:leftChars="342" w:hanging="1084" w:hangingChars="300"/>
        <w:rPr>
          <w:rStyle w:val="56"/>
          <w:rFonts w:hint="eastAsia" w:ascii="宋体" w:hAnsi="宋体" w:eastAsia="宋体" w:cs="宋体"/>
          <w:i w:val="0"/>
          <w:iCs w:val="0"/>
          <w:caps w:val="0"/>
          <w:color w:val="404040"/>
          <w:spacing w:val="0"/>
          <w:sz w:val="36"/>
          <w:szCs w:val="36"/>
          <w:shd w:val="clear" w:fill="FFFFFF"/>
        </w:rPr>
      </w:pPr>
      <w:bookmarkStart w:id="4" w:name="_Toc28433"/>
      <w:bookmarkStart w:id="5" w:name="_Toc29213"/>
      <w:r>
        <w:rPr>
          <w:rStyle w:val="56"/>
          <w:rFonts w:hint="eastAsia" w:ascii="宋体" w:hAnsi="宋体" w:eastAsia="宋体" w:cs="宋体"/>
          <w:i w:val="0"/>
          <w:iCs w:val="0"/>
          <w:caps w:val="0"/>
          <w:color w:val="404040"/>
          <w:spacing w:val="0"/>
          <w:sz w:val="36"/>
          <w:szCs w:val="36"/>
          <w:shd w:val="clear" w:fill="FFFFFF"/>
        </w:rPr>
        <w:t>融水苗族自治县人民医院</w:t>
      </w:r>
      <w:r>
        <w:rPr>
          <w:rFonts w:hint="eastAsia" w:ascii="宋体" w:hAnsi="宋体" w:eastAsia="宋体" w:cs="宋体"/>
          <w:b/>
          <w:bCs/>
          <w:color w:val="auto"/>
          <w:sz w:val="36"/>
          <w:szCs w:val="36"/>
          <w:lang w:val="en-US" w:eastAsia="zh-CN"/>
        </w:rPr>
        <w:t>2025-2027年度审计（一年一审）服务采购项目</w:t>
      </w:r>
      <w:r>
        <w:rPr>
          <w:rStyle w:val="56"/>
          <w:rFonts w:hint="eastAsia" w:ascii="宋体" w:hAnsi="宋体" w:eastAsia="宋体" w:cs="宋体"/>
          <w:i w:val="0"/>
          <w:iCs w:val="0"/>
          <w:caps w:val="0"/>
          <w:color w:val="404040"/>
          <w:spacing w:val="0"/>
          <w:sz w:val="36"/>
          <w:szCs w:val="36"/>
          <w:shd w:val="clear" w:fill="FFFFFF"/>
        </w:rPr>
        <w:t>公告</w:t>
      </w:r>
    </w:p>
    <w:p w14:paraId="727F2C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融水苗族自治县人民医院现就“医院2025-2027年度审计（一年一审）服务采购项目”进行竞争性磋商采购，诚邀符合资格条件的供应商参与投标：</w:t>
      </w:r>
    </w:p>
    <w:p w14:paraId="5C7748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一、</w:t>
      </w:r>
      <w:r>
        <w:rPr>
          <w:rFonts w:hint="eastAsia" w:ascii="宋体" w:hAnsi="宋体" w:cs="宋体"/>
          <w:b/>
          <w:bCs/>
          <w:i w:val="0"/>
          <w:iCs w:val="0"/>
          <w:caps w:val="0"/>
          <w:color w:val="333333"/>
          <w:spacing w:val="0"/>
          <w:kern w:val="0"/>
          <w:sz w:val="28"/>
          <w:szCs w:val="28"/>
          <w:shd w:val="clear" w:fill="FFFFFF"/>
          <w:lang w:val="en-US" w:eastAsia="zh-CN" w:bidi="ar"/>
        </w:rPr>
        <w:t>项目基本情况</w:t>
      </w:r>
    </w:p>
    <w:p w14:paraId="30C809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b/>
          <w:bCs/>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1.</w:t>
      </w:r>
      <w:r>
        <w:rPr>
          <w:rFonts w:hint="eastAsia" w:ascii="宋体" w:hAnsi="宋体" w:eastAsia="宋体" w:cs="宋体"/>
          <w:b/>
          <w:bCs/>
          <w:i w:val="0"/>
          <w:iCs w:val="0"/>
          <w:caps w:val="0"/>
          <w:color w:val="333333"/>
          <w:spacing w:val="0"/>
          <w:kern w:val="0"/>
          <w:sz w:val="28"/>
          <w:szCs w:val="28"/>
          <w:shd w:val="clear" w:fill="FFFFFF"/>
          <w:lang w:val="en-US" w:eastAsia="zh-CN" w:bidi="ar"/>
        </w:rPr>
        <w:t>项目名称：</w:t>
      </w:r>
      <w:r>
        <w:rPr>
          <w:rFonts w:hint="eastAsia" w:ascii="宋体" w:hAnsi="宋体" w:eastAsia="宋体" w:cs="宋体"/>
          <w:i w:val="0"/>
          <w:iCs w:val="0"/>
          <w:caps w:val="0"/>
          <w:color w:val="333333"/>
          <w:spacing w:val="0"/>
          <w:kern w:val="0"/>
          <w:sz w:val="28"/>
          <w:szCs w:val="28"/>
          <w:shd w:val="clear" w:fill="FFFFFF"/>
          <w:lang w:val="en-US" w:eastAsia="zh-CN" w:bidi="ar"/>
        </w:rPr>
        <w:t>融水苗族自治县人民医院2025-2027年度审计（一年一审）服务采购项目</w:t>
      </w:r>
    </w:p>
    <w:p w14:paraId="6F0E98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i w:val="0"/>
          <w:iCs w:val="0"/>
          <w:caps w:val="0"/>
          <w:color w:val="333333"/>
          <w:spacing w:val="0"/>
          <w:kern w:val="0"/>
          <w:sz w:val="28"/>
          <w:szCs w:val="28"/>
          <w:shd w:val="clear" w:fill="FFFFFF"/>
          <w:lang w:val="en-US" w:eastAsia="zh-CN" w:bidi="ar"/>
        </w:rPr>
        <w:t>2.</w:t>
      </w:r>
      <w:r>
        <w:rPr>
          <w:rFonts w:hint="eastAsia" w:ascii="宋体" w:hAnsi="宋体" w:eastAsia="宋体" w:cs="宋体"/>
          <w:b/>
          <w:bCs/>
          <w:i w:val="0"/>
          <w:iCs w:val="0"/>
          <w:caps w:val="0"/>
          <w:color w:val="333333"/>
          <w:spacing w:val="0"/>
          <w:kern w:val="0"/>
          <w:sz w:val="28"/>
          <w:szCs w:val="28"/>
          <w:shd w:val="clear" w:fill="FFFFFF"/>
          <w:lang w:val="en-US" w:eastAsia="zh-CN" w:bidi="ar"/>
        </w:rPr>
        <w:t>招标编号：RYCG</w:t>
      </w:r>
      <w:r>
        <w:rPr>
          <w:rFonts w:hint="eastAsia" w:ascii="宋体" w:hAnsi="宋体" w:cs="宋体"/>
          <w:b/>
          <w:bCs/>
          <w:i w:val="0"/>
          <w:iCs w:val="0"/>
          <w:caps w:val="0"/>
          <w:color w:val="333333"/>
          <w:spacing w:val="0"/>
          <w:kern w:val="0"/>
          <w:sz w:val="28"/>
          <w:szCs w:val="28"/>
          <w:shd w:val="clear" w:fill="FFFFFF"/>
          <w:lang w:val="en-US" w:eastAsia="zh-CN" w:bidi="ar"/>
        </w:rPr>
        <w:t>2026058</w:t>
      </w:r>
    </w:p>
    <w:p w14:paraId="79072D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3.采购方式：竞争性磋商</w:t>
      </w:r>
    </w:p>
    <w:p w14:paraId="0155480F">
      <w:pPr>
        <w:widowControl/>
        <w:numPr>
          <w:ilvl w:val="0"/>
          <w:numId w:val="0"/>
        </w:numPr>
        <w:spacing w:beforeAutospacing="0" w:afterAutospacing="0" w:line="240" w:lineRule="auto"/>
        <w:ind w:left="0" w:leftChars="0" w:firstLine="562" w:firstLineChars="200"/>
        <w:jc w:val="both"/>
        <w:rPr>
          <w:rFonts w:ascii="宋体" w:hAnsi="宋体" w:eastAsia="宋体" w:cs="宋体"/>
          <w:kern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4.金额预算</w:t>
      </w:r>
      <w:r>
        <w:rPr>
          <w:rFonts w:hint="eastAsia" w:ascii="宋体" w:hAnsi="宋体" w:eastAsia="宋体" w:cs="宋体"/>
          <w:b/>
          <w:bCs/>
          <w:i w:val="0"/>
          <w:iCs w:val="0"/>
          <w:caps w:val="0"/>
          <w:color w:val="333333"/>
          <w:spacing w:val="0"/>
          <w:kern w:val="0"/>
          <w:sz w:val="28"/>
          <w:szCs w:val="28"/>
          <w:shd w:val="clear" w:fill="FFFFFF"/>
          <w:lang w:val="en-US" w:eastAsia="zh-CN" w:bidi="ar"/>
        </w:rPr>
        <w:t>：</w:t>
      </w:r>
      <w:r>
        <w:rPr>
          <w:rFonts w:ascii="宋体" w:hAnsi="宋体" w:eastAsia="宋体" w:cs="宋体"/>
          <w:kern w:val="0"/>
          <w:sz w:val="28"/>
          <w:szCs w:val="28"/>
        </w:rPr>
        <w:t>本项目总预算为人民币165,000.00元（大写：人民币拾陆万伍仟元整）。本项目分为2个分包，供应商可对其中一个或两个分包进行响应，但需分别报价、分别响应。各分包年度预算及总预算如下：</w:t>
      </w:r>
    </w:p>
    <w:p w14:paraId="67369412">
      <w:pPr>
        <w:widowControl/>
        <w:numPr>
          <w:ilvl w:val="0"/>
          <w:numId w:val="0"/>
        </w:numPr>
        <w:spacing w:beforeAutospacing="0" w:afterAutospacing="0" w:line="240" w:lineRule="auto"/>
        <w:ind w:left="0" w:leftChars="0" w:firstLine="562" w:firstLineChars="200"/>
        <w:jc w:val="both"/>
        <w:rPr>
          <w:rFonts w:ascii="宋体" w:hAnsi="宋体" w:eastAsia="宋体" w:cs="宋体"/>
          <w:b/>
          <w:bCs/>
          <w:kern w:val="0"/>
          <w:sz w:val="28"/>
          <w:szCs w:val="28"/>
        </w:rPr>
      </w:pPr>
      <w:r>
        <w:rPr>
          <w:rFonts w:ascii="宋体" w:hAnsi="宋体" w:eastAsia="宋体" w:cs="宋体"/>
          <w:b/>
          <w:bCs/>
          <w:kern w:val="0"/>
          <w:sz w:val="28"/>
          <w:szCs w:val="28"/>
        </w:rPr>
        <w:t>分包一：年度财务报告审计</w:t>
      </w:r>
    </w:p>
    <w:p w14:paraId="21962FC8">
      <w:pPr>
        <w:widowControl/>
        <w:numPr>
          <w:ilvl w:val="0"/>
          <w:numId w:val="0"/>
        </w:numPr>
        <w:spacing w:beforeAutospacing="0" w:afterAutospacing="0" w:line="240" w:lineRule="auto"/>
        <w:ind w:firstLine="560" w:firstLineChars="200"/>
        <w:jc w:val="both"/>
        <w:rPr>
          <w:rFonts w:ascii="宋体" w:hAnsi="宋体" w:eastAsia="宋体" w:cs="宋体"/>
          <w:kern w:val="0"/>
          <w:sz w:val="28"/>
          <w:szCs w:val="28"/>
        </w:rPr>
      </w:pPr>
      <w:r>
        <w:rPr>
          <w:rFonts w:ascii="宋体" w:hAnsi="宋体" w:eastAsia="宋体" w:cs="宋体"/>
          <w:kern w:val="0"/>
          <w:sz w:val="28"/>
          <w:szCs w:val="28"/>
        </w:rPr>
        <w:t>服务期：三年</w:t>
      </w:r>
      <w:r>
        <w:rPr>
          <w:rFonts w:hint="eastAsia" w:ascii="宋体" w:hAnsi="宋体" w:cs="宋体"/>
          <w:kern w:val="0"/>
          <w:sz w:val="28"/>
          <w:szCs w:val="28"/>
          <w:lang w:eastAsia="zh-CN"/>
        </w:rPr>
        <w:t>，</w:t>
      </w:r>
      <w:r>
        <w:rPr>
          <w:rFonts w:hint="eastAsia" w:ascii="宋体" w:hAnsi="宋体" w:cs="宋体"/>
          <w:kern w:val="0"/>
          <w:sz w:val="28"/>
          <w:szCs w:val="28"/>
          <w:lang w:val="en-US" w:eastAsia="zh-CN"/>
        </w:rPr>
        <w:t>一年一签</w:t>
      </w:r>
      <w:r>
        <w:rPr>
          <w:rFonts w:ascii="宋体" w:hAnsi="宋体" w:eastAsia="宋体" w:cs="宋体"/>
          <w:kern w:val="0"/>
          <w:sz w:val="28"/>
          <w:szCs w:val="28"/>
        </w:rPr>
        <w:t>（2025、2026、2027年度报告审计）</w:t>
      </w:r>
    </w:p>
    <w:p w14:paraId="723E4687">
      <w:pPr>
        <w:widowControl/>
        <w:numPr>
          <w:ilvl w:val="0"/>
          <w:numId w:val="0"/>
        </w:numPr>
        <w:spacing w:beforeAutospacing="0" w:afterAutospacing="0" w:line="240" w:lineRule="auto"/>
        <w:ind w:firstLine="560" w:firstLineChars="200"/>
        <w:jc w:val="both"/>
        <w:rPr>
          <w:rFonts w:ascii="宋体" w:hAnsi="宋体" w:eastAsia="宋体" w:cs="宋体"/>
          <w:kern w:val="0"/>
          <w:sz w:val="28"/>
          <w:szCs w:val="28"/>
        </w:rPr>
      </w:pPr>
      <w:r>
        <w:rPr>
          <w:rFonts w:ascii="宋体" w:hAnsi="宋体" w:eastAsia="宋体" w:cs="宋体"/>
          <w:kern w:val="0"/>
          <w:sz w:val="28"/>
          <w:szCs w:val="28"/>
        </w:rPr>
        <w:t>年度预算：人民币</w:t>
      </w:r>
      <w:r>
        <w:rPr>
          <w:rFonts w:hint="eastAsia" w:ascii="宋体" w:hAnsi="宋体" w:eastAsia="宋体" w:cs="宋体"/>
          <w:kern w:val="0"/>
          <w:sz w:val="28"/>
          <w:szCs w:val="28"/>
          <w:lang w:val="en-US" w:eastAsia="zh-CN"/>
        </w:rPr>
        <w:t>1.5</w:t>
      </w:r>
      <w:r>
        <w:rPr>
          <w:rFonts w:ascii="宋体" w:hAnsi="宋体" w:eastAsia="宋体" w:cs="宋体"/>
          <w:b/>
          <w:bCs/>
          <w:kern w:val="0"/>
          <w:sz w:val="28"/>
          <w:szCs w:val="28"/>
        </w:rPr>
        <w:t xml:space="preserve">万元 </w:t>
      </w:r>
      <w:r>
        <w:rPr>
          <w:rFonts w:ascii="宋体" w:hAnsi="宋体" w:eastAsia="宋体" w:cs="宋体"/>
          <w:kern w:val="0"/>
          <w:sz w:val="28"/>
          <w:szCs w:val="28"/>
        </w:rPr>
        <w:t>。</w:t>
      </w:r>
    </w:p>
    <w:p w14:paraId="76B94F29">
      <w:pPr>
        <w:widowControl/>
        <w:numPr>
          <w:ilvl w:val="0"/>
          <w:numId w:val="0"/>
        </w:numPr>
        <w:spacing w:beforeAutospacing="0" w:afterAutospacing="0" w:line="240" w:lineRule="auto"/>
        <w:ind w:firstLine="560" w:firstLineChars="200"/>
        <w:jc w:val="both"/>
        <w:rPr>
          <w:rFonts w:ascii="宋体" w:hAnsi="宋体" w:eastAsia="宋体" w:cs="宋体"/>
          <w:kern w:val="0"/>
          <w:sz w:val="28"/>
          <w:szCs w:val="28"/>
        </w:rPr>
      </w:pPr>
      <w:r>
        <w:rPr>
          <w:rFonts w:ascii="宋体" w:hAnsi="宋体" w:eastAsia="宋体" w:cs="宋体"/>
          <w:kern w:val="0"/>
          <w:sz w:val="28"/>
          <w:szCs w:val="28"/>
        </w:rPr>
        <w:t>三年总预算：人民币</w:t>
      </w:r>
      <w:r>
        <w:rPr>
          <w:rFonts w:hint="eastAsia" w:ascii="宋体" w:hAnsi="宋体" w:eastAsia="宋体" w:cs="宋体"/>
          <w:kern w:val="0"/>
          <w:sz w:val="28"/>
          <w:szCs w:val="28"/>
          <w:lang w:val="en-US" w:eastAsia="zh-CN"/>
        </w:rPr>
        <w:t>4.5</w:t>
      </w:r>
      <w:r>
        <w:rPr>
          <w:rFonts w:ascii="宋体" w:hAnsi="宋体" w:eastAsia="宋体" w:cs="宋体"/>
          <w:kern w:val="0"/>
          <w:sz w:val="28"/>
          <w:szCs w:val="28"/>
        </w:rPr>
        <w:t>万元。</w:t>
      </w:r>
    </w:p>
    <w:p w14:paraId="53176537">
      <w:pPr>
        <w:widowControl/>
        <w:numPr>
          <w:ilvl w:val="0"/>
          <w:numId w:val="0"/>
        </w:numPr>
        <w:spacing w:beforeAutospacing="0" w:afterAutospacing="0" w:line="240" w:lineRule="auto"/>
        <w:ind w:left="0" w:leftChars="0" w:firstLine="562" w:firstLineChars="200"/>
        <w:jc w:val="both"/>
        <w:rPr>
          <w:rFonts w:ascii="宋体" w:hAnsi="宋体" w:eastAsia="宋体" w:cs="宋体"/>
          <w:b/>
          <w:bCs/>
          <w:kern w:val="0"/>
          <w:sz w:val="28"/>
          <w:szCs w:val="28"/>
        </w:rPr>
      </w:pPr>
      <w:r>
        <w:rPr>
          <w:rFonts w:ascii="宋体" w:hAnsi="宋体" w:eastAsia="宋体" w:cs="宋体"/>
          <w:b/>
          <w:bCs/>
          <w:kern w:val="0"/>
          <w:sz w:val="28"/>
          <w:szCs w:val="28"/>
        </w:rPr>
        <w:t>分包二：内部控制评价及风险评估</w:t>
      </w:r>
    </w:p>
    <w:p w14:paraId="30DB6014">
      <w:pPr>
        <w:widowControl/>
        <w:numPr>
          <w:ilvl w:val="0"/>
          <w:numId w:val="0"/>
        </w:numPr>
        <w:spacing w:beforeAutospacing="0" w:afterAutospacing="0" w:line="240" w:lineRule="auto"/>
        <w:ind w:left="0" w:leftChars="0" w:firstLine="560" w:firstLineChars="200"/>
        <w:jc w:val="both"/>
        <w:rPr>
          <w:rFonts w:ascii="宋体" w:hAnsi="宋体" w:eastAsia="宋体" w:cs="宋体"/>
          <w:kern w:val="0"/>
          <w:sz w:val="28"/>
          <w:szCs w:val="28"/>
        </w:rPr>
      </w:pPr>
      <w:r>
        <w:rPr>
          <w:rFonts w:ascii="宋体" w:hAnsi="宋体" w:eastAsia="宋体" w:cs="宋体"/>
          <w:kern w:val="0"/>
          <w:sz w:val="28"/>
          <w:szCs w:val="28"/>
        </w:rPr>
        <w:t>服务期：三年</w:t>
      </w:r>
      <w:r>
        <w:rPr>
          <w:rFonts w:hint="eastAsia" w:ascii="宋体" w:hAnsi="宋体" w:cs="宋体"/>
          <w:kern w:val="0"/>
          <w:sz w:val="28"/>
          <w:szCs w:val="28"/>
          <w:lang w:eastAsia="zh-CN"/>
        </w:rPr>
        <w:t>，</w:t>
      </w:r>
      <w:r>
        <w:rPr>
          <w:rFonts w:hint="eastAsia" w:ascii="宋体" w:hAnsi="宋体" w:cs="宋体"/>
          <w:kern w:val="0"/>
          <w:sz w:val="28"/>
          <w:szCs w:val="28"/>
          <w:lang w:val="en-US" w:eastAsia="zh-CN"/>
        </w:rPr>
        <w:t>一年一签</w:t>
      </w:r>
      <w:r>
        <w:rPr>
          <w:rFonts w:ascii="宋体" w:hAnsi="宋体" w:eastAsia="宋体" w:cs="宋体"/>
          <w:kern w:val="0"/>
          <w:sz w:val="28"/>
          <w:szCs w:val="28"/>
        </w:rPr>
        <w:t>（2025、2026、2027年度评价）</w:t>
      </w:r>
    </w:p>
    <w:p w14:paraId="149D3145">
      <w:pPr>
        <w:widowControl/>
        <w:numPr>
          <w:ilvl w:val="0"/>
          <w:numId w:val="0"/>
        </w:numPr>
        <w:spacing w:beforeAutospacing="0" w:afterAutospacing="0" w:line="240" w:lineRule="auto"/>
        <w:ind w:left="0" w:leftChars="0" w:firstLine="560" w:firstLineChars="200"/>
        <w:jc w:val="both"/>
        <w:rPr>
          <w:rFonts w:ascii="宋体" w:hAnsi="宋体" w:eastAsia="宋体" w:cs="宋体"/>
          <w:kern w:val="0"/>
          <w:sz w:val="28"/>
          <w:szCs w:val="28"/>
        </w:rPr>
      </w:pPr>
      <w:r>
        <w:rPr>
          <w:rFonts w:ascii="宋体" w:hAnsi="宋体" w:eastAsia="宋体" w:cs="宋体"/>
          <w:kern w:val="0"/>
          <w:sz w:val="28"/>
          <w:szCs w:val="28"/>
        </w:rPr>
        <w:t>年度预算：人民币</w:t>
      </w:r>
      <w:r>
        <w:rPr>
          <w:rFonts w:hint="eastAsia" w:ascii="宋体" w:hAnsi="宋体" w:eastAsia="宋体" w:cs="宋体"/>
          <w:kern w:val="0"/>
          <w:sz w:val="28"/>
          <w:szCs w:val="28"/>
          <w:lang w:val="en-US" w:eastAsia="zh-CN"/>
        </w:rPr>
        <w:t>4</w:t>
      </w:r>
      <w:r>
        <w:rPr>
          <w:rFonts w:ascii="宋体" w:hAnsi="宋体" w:eastAsia="宋体" w:cs="宋体"/>
          <w:b/>
          <w:bCs/>
          <w:kern w:val="0"/>
          <w:sz w:val="28"/>
          <w:szCs w:val="28"/>
        </w:rPr>
        <w:t xml:space="preserve">万元 </w:t>
      </w:r>
      <w:r>
        <w:rPr>
          <w:rFonts w:ascii="宋体" w:hAnsi="宋体" w:eastAsia="宋体" w:cs="宋体"/>
          <w:kern w:val="0"/>
          <w:sz w:val="28"/>
          <w:szCs w:val="28"/>
        </w:rPr>
        <w:t>。</w:t>
      </w:r>
    </w:p>
    <w:p w14:paraId="124D9EE8">
      <w:pPr>
        <w:widowControl/>
        <w:numPr>
          <w:ilvl w:val="0"/>
          <w:numId w:val="0"/>
        </w:numPr>
        <w:spacing w:beforeAutospacing="0" w:afterAutospacing="0" w:line="240" w:lineRule="auto"/>
        <w:ind w:left="0" w:leftChars="0" w:firstLine="560" w:firstLineChars="200"/>
        <w:jc w:val="both"/>
        <w:rPr>
          <w:rFonts w:ascii="宋体" w:hAnsi="宋体" w:eastAsia="宋体" w:cs="宋体"/>
          <w:kern w:val="0"/>
          <w:sz w:val="28"/>
          <w:szCs w:val="28"/>
        </w:rPr>
      </w:pPr>
      <w:r>
        <w:rPr>
          <w:rFonts w:ascii="宋体" w:hAnsi="宋体" w:eastAsia="宋体" w:cs="宋体"/>
          <w:kern w:val="0"/>
          <w:sz w:val="28"/>
          <w:szCs w:val="28"/>
        </w:rPr>
        <w:t>三年总预算：人民币</w:t>
      </w:r>
      <w:r>
        <w:rPr>
          <w:rFonts w:hint="eastAsia" w:ascii="宋体" w:hAnsi="宋体" w:eastAsia="宋体" w:cs="宋体"/>
          <w:kern w:val="0"/>
          <w:sz w:val="28"/>
          <w:szCs w:val="28"/>
          <w:lang w:val="en-US" w:eastAsia="zh-CN"/>
        </w:rPr>
        <w:t>12</w:t>
      </w:r>
      <w:r>
        <w:rPr>
          <w:rFonts w:ascii="宋体" w:hAnsi="宋体" w:eastAsia="宋体" w:cs="宋体"/>
          <w:kern w:val="0"/>
          <w:sz w:val="28"/>
          <w:szCs w:val="28"/>
        </w:rPr>
        <w:t>万元。</w:t>
      </w:r>
    </w:p>
    <w:p w14:paraId="51A6A93E">
      <w:pPr>
        <w:widowControl/>
        <w:numPr>
          <w:ilvl w:val="0"/>
          <w:numId w:val="0"/>
        </w:numPr>
        <w:spacing w:beforeAutospacing="0" w:afterAutospacing="0" w:line="240" w:lineRule="auto"/>
        <w:ind w:leftChars="200"/>
        <w:jc w:val="both"/>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备注：各报价不得</w:t>
      </w:r>
      <w:r>
        <w:rPr>
          <w:rFonts w:hint="eastAsia" w:ascii="宋体" w:hAnsi="宋体" w:cs="宋体"/>
          <w:b w:val="0"/>
          <w:bCs/>
          <w:sz w:val="28"/>
          <w:szCs w:val="28"/>
        </w:rPr>
        <w:t>超控制价报价</w:t>
      </w:r>
      <w:r>
        <w:rPr>
          <w:rFonts w:hint="eastAsia" w:ascii="宋体" w:hAnsi="宋体" w:cs="宋体"/>
          <w:b w:val="0"/>
          <w:bCs/>
          <w:sz w:val="28"/>
          <w:szCs w:val="28"/>
          <w:lang w:eastAsia="zh-CN"/>
        </w:rPr>
        <w:t>，</w:t>
      </w:r>
      <w:r>
        <w:rPr>
          <w:rFonts w:hint="eastAsia" w:ascii="宋体" w:hAnsi="宋体" w:cs="宋体"/>
          <w:b w:val="0"/>
          <w:bCs/>
          <w:sz w:val="28"/>
          <w:szCs w:val="28"/>
          <w:lang w:val="en-US" w:eastAsia="zh-CN"/>
        </w:rPr>
        <w:t>否则视为</w:t>
      </w:r>
      <w:r>
        <w:rPr>
          <w:rFonts w:hint="eastAsia" w:ascii="宋体" w:hAnsi="宋体" w:cs="宋体"/>
          <w:b w:val="0"/>
          <w:bCs/>
          <w:sz w:val="28"/>
          <w:szCs w:val="28"/>
        </w:rPr>
        <w:t>无效</w:t>
      </w:r>
      <w:r>
        <w:rPr>
          <w:rFonts w:hint="eastAsia" w:ascii="宋体" w:hAnsi="宋体" w:eastAsia="宋体" w:cs="宋体"/>
          <w:kern w:val="0"/>
          <w:sz w:val="28"/>
          <w:szCs w:val="28"/>
          <w:lang w:eastAsia="zh-CN"/>
        </w:rPr>
        <w:t>）</w:t>
      </w:r>
    </w:p>
    <w:p w14:paraId="51FC17F6">
      <w:pPr>
        <w:widowControl/>
        <w:numPr>
          <w:ilvl w:val="0"/>
          <w:numId w:val="0"/>
        </w:numPr>
        <w:spacing w:beforeAutospacing="0" w:afterAutospacing="0" w:line="240" w:lineRule="auto"/>
        <w:ind w:leftChars="200" w:firstLine="281" w:firstLineChars="100"/>
        <w:jc w:val="both"/>
        <w:rPr>
          <w:rFonts w:ascii="宋体" w:hAnsi="宋体" w:eastAsia="宋体" w:cs="宋体"/>
          <w:kern w:val="0"/>
          <w:sz w:val="28"/>
          <w:szCs w:val="28"/>
        </w:rPr>
      </w:pPr>
      <w:r>
        <w:rPr>
          <w:rFonts w:hint="eastAsia" w:ascii="宋体" w:hAnsi="宋体" w:eastAsia="宋体" w:cs="宋体"/>
          <w:b/>
          <w:bCs/>
          <w:kern w:val="0"/>
          <w:sz w:val="28"/>
          <w:szCs w:val="28"/>
          <w:lang w:val="en-US" w:eastAsia="zh-CN"/>
        </w:rPr>
        <w:t>5.</w:t>
      </w:r>
      <w:r>
        <w:rPr>
          <w:rFonts w:ascii="宋体" w:hAnsi="宋体" w:eastAsia="宋体" w:cs="宋体"/>
          <w:b/>
          <w:bCs/>
          <w:kern w:val="0"/>
          <w:sz w:val="28"/>
          <w:szCs w:val="28"/>
        </w:rPr>
        <w:t>服务期限：</w:t>
      </w:r>
      <w:r>
        <w:rPr>
          <w:rFonts w:ascii="宋体" w:hAnsi="宋体" w:eastAsia="宋体" w:cs="宋体"/>
          <w:kern w:val="0"/>
          <w:sz w:val="28"/>
          <w:szCs w:val="28"/>
        </w:rPr>
        <w:t>自合同签订之日起，服务期三年，具体服务时间为每个会计年度结束后的约定期间内（通常为次年4月前后）完成对应年度的审计与评价工作。</w:t>
      </w:r>
    </w:p>
    <w:p w14:paraId="667598EF">
      <w:pPr>
        <w:widowControl/>
        <w:numPr>
          <w:ilvl w:val="0"/>
          <w:numId w:val="0"/>
        </w:numPr>
        <w:spacing w:line="240" w:lineRule="auto"/>
        <w:ind w:firstLine="562" w:firstLineChars="200"/>
        <w:jc w:val="both"/>
        <w:rPr>
          <w:rFonts w:ascii="宋体" w:hAnsi="宋体" w:eastAsia="宋体" w:cs="宋体"/>
          <w:b/>
          <w:bCs/>
          <w:kern w:val="0"/>
          <w:sz w:val="28"/>
          <w:szCs w:val="28"/>
        </w:rPr>
      </w:pPr>
      <w:r>
        <w:rPr>
          <w:rFonts w:hint="eastAsia" w:ascii="宋体" w:hAnsi="宋体" w:eastAsia="宋体" w:cs="宋体"/>
          <w:b/>
          <w:bCs/>
          <w:kern w:val="0"/>
          <w:sz w:val="28"/>
          <w:szCs w:val="28"/>
          <w:lang w:val="en-US" w:eastAsia="zh-CN" w:bidi="ar-SA"/>
        </w:rPr>
        <w:t>二、</w:t>
      </w:r>
      <w:r>
        <w:rPr>
          <w:rFonts w:ascii="宋体" w:hAnsi="宋体" w:eastAsia="宋体" w:cs="宋体"/>
          <w:b/>
          <w:bCs/>
          <w:kern w:val="0"/>
          <w:sz w:val="28"/>
          <w:szCs w:val="28"/>
        </w:rPr>
        <w:t>供应商的资格要求：</w:t>
      </w:r>
    </w:p>
    <w:p w14:paraId="78D96C4D">
      <w:pPr>
        <w:widowControl/>
        <w:numPr>
          <w:ilvl w:val="0"/>
          <w:numId w:val="0"/>
        </w:numPr>
        <w:spacing w:line="240" w:lineRule="auto"/>
        <w:ind w:firstLine="560" w:firstLineChars="200"/>
        <w:jc w:val="both"/>
        <w:rPr>
          <w:rFonts w:ascii="宋体" w:hAnsi="宋体" w:eastAsia="宋体" w:cs="宋体"/>
          <w:kern w:val="0"/>
          <w:sz w:val="28"/>
          <w:szCs w:val="28"/>
        </w:rPr>
      </w:pPr>
      <w:r>
        <w:rPr>
          <w:rFonts w:hint="eastAsia" w:ascii="宋体" w:hAnsi="宋体" w:eastAsia="宋体" w:cs="宋体"/>
          <w:kern w:val="0"/>
          <w:sz w:val="28"/>
          <w:szCs w:val="28"/>
          <w:lang w:val="en-US" w:eastAsia="zh-CN"/>
        </w:rPr>
        <w:t>1.</w:t>
      </w:r>
      <w:r>
        <w:rPr>
          <w:rFonts w:ascii="宋体" w:hAnsi="宋体" w:eastAsia="宋体" w:cs="宋体"/>
          <w:kern w:val="0"/>
          <w:sz w:val="28"/>
          <w:szCs w:val="28"/>
        </w:rPr>
        <w:t>具备《中华人民共和国政府采购法》第二十二条规定的条件。</w:t>
      </w:r>
    </w:p>
    <w:p w14:paraId="219DEC1C">
      <w:pPr>
        <w:widowControl/>
        <w:numPr>
          <w:ilvl w:val="0"/>
          <w:numId w:val="0"/>
        </w:numPr>
        <w:spacing w:line="240" w:lineRule="auto"/>
        <w:ind w:firstLine="560" w:firstLineChars="200"/>
        <w:jc w:val="both"/>
        <w:rPr>
          <w:rFonts w:ascii="宋体" w:hAnsi="宋体" w:eastAsia="宋体" w:cs="宋体"/>
          <w:kern w:val="0"/>
          <w:sz w:val="28"/>
          <w:szCs w:val="28"/>
        </w:rPr>
      </w:pPr>
      <w:r>
        <w:rPr>
          <w:rFonts w:hint="eastAsia" w:ascii="宋体" w:hAnsi="宋体" w:eastAsia="宋体" w:cs="宋体"/>
          <w:kern w:val="0"/>
          <w:sz w:val="28"/>
          <w:szCs w:val="28"/>
          <w:lang w:val="en-US" w:eastAsia="zh-CN"/>
        </w:rPr>
        <w:t>2.</w:t>
      </w:r>
      <w:r>
        <w:rPr>
          <w:rFonts w:ascii="宋体" w:hAnsi="宋体" w:eastAsia="宋体" w:cs="宋体"/>
          <w:kern w:val="0"/>
          <w:sz w:val="28"/>
          <w:szCs w:val="28"/>
        </w:rPr>
        <w:t>供应商必须是合法设立并有效存续的会计师事务所，持有有效的财政部门颁发的《会计师事务所执业证书》。</w:t>
      </w:r>
    </w:p>
    <w:p w14:paraId="36CE5626">
      <w:pPr>
        <w:widowControl/>
        <w:numPr>
          <w:ilvl w:val="0"/>
          <w:numId w:val="0"/>
        </w:numPr>
        <w:spacing w:line="240" w:lineRule="auto"/>
        <w:ind w:firstLine="560" w:firstLineChars="200"/>
        <w:jc w:val="both"/>
        <w:rPr>
          <w:rFonts w:ascii="宋体" w:hAnsi="宋体" w:eastAsia="宋体" w:cs="宋体"/>
          <w:kern w:val="0"/>
          <w:sz w:val="28"/>
          <w:szCs w:val="28"/>
        </w:rPr>
      </w:pPr>
      <w:r>
        <w:rPr>
          <w:rFonts w:hint="eastAsia" w:ascii="宋体" w:hAnsi="宋体" w:eastAsia="宋体" w:cs="宋体"/>
          <w:kern w:val="0"/>
          <w:sz w:val="28"/>
          <w:szCs w:val="28"/>
          <w:lang w:val="en-US" w:eastAsia="zh-CN"/>
        </w:rPr>
        <w:t>3.</w:t>
      </w:r>
      <w:r>
        <w:rPr>
          <w:rFonts w:ascii="宋体" w:hAnsi="宋体" w:eastAsia="宋体" w:cs="宋体"/>
          <w:kern w:val="0"/>
          <w:sz w:val="28"/>
          <w:szCs w:val="28"/>
        </w:rPr>
        <w:t>拟派项目负责人须具备中国注册会计师（CPA）执业资格，并具备丰富的医疗机构或行政事业单位审计经验。</w:t>
      </w:r>
    </w:p>
    <w:p w14:paraId="4FA40038">
      <w:pPr>
        <w:widowControl/>
        <w:numPr>
          <w:ilvl w:val="0"/>
          <w:numId w:val="0"/>
        </w:numPr>
        <w:spacing w:line="240" w:lineRule="auto"/>
        <w:ind w:firstLine="560" w:firstLineChars="200"/>
        <w:jc w:val="both"/>
        <w:rPr>
          <w:rFonts w:ascii="宋体" w:hAnsi="宋体" w:eastAsia="宋体" w:cs="宋体"/>
          <w:kern w:val="0"/>
          <w:sz w:val="28"/>
          <w:szCs w:val="28"/>
        </w:rPr>
      </w:pPr>
      <w:r>
        <w:rPr>
          <w:rFonts w:hint="eastAsia" w:ascii="宋体" w:hAnsi="宋体" w:eastAsia="宋体" w:cs="宋体"/>
          <w:kern w:val="0"/>
          <w:sz w:val="28"/>
          <w:szCs w:val="28"/>
          <w:lang w:val="en-US" w:eastAsia="zh-CN"/>
        </w:rPr>
        <w:t>4.</w:t>
      </w:r>
      <w:r>
        <w:rPr>
          <w:rFonts w:ascii="宋体" w:hAnsi="宋体" w:eastAsia="宋体" w:cs="宋体"/>
          <w:kern w:val="0"/>
          <w:sz w:val="28"/>
          <w:szCs w:val="28"/>
        </w:rPr>
        <w:t>供应商在“信用中国”网站(www.creditchina.gov.cn)和中国政府采购网(www.ccgp.gov.cn)未被列入失信被执行人、重大税收违法失信主体、政府采购严重违法失信行为记录名单。</w:t>
      </w:r>
    </w:p>
    <w:p w14:paraId="267875EB">
      <w:pPr>
        <w:widowControl/>
        <w:numPr>
          <w:ilvl w:val="0"/>
          <w:numId w:val="0"/>
        </w:numPr>
        <w:spacing w:line="240" w:lineRule="auto"/>
        <w:ind w:firstLine="560" w:firstLineChars="200"/>
        <w:jc w:val="both"/>
        <w:rPr>
          <w:rFonts w:ascii="宋体" w:hAnsi="宋体" w:eastAsia="宋体" w:cs="宋体"/>
          <w:kern w:val="0"/>
          <w:sz w:val="28"/>
          <w:szCs w:val="28"/>
        </w:rPr>
      </w:pPr>
      <w:r>
        <w:rPr>
          <w:rFonts w:hint="eastAsia" w:ascii="宋体" w:hAnsi="宋体" w:eastAsia="宋体" w:cs="宋体"/>
          <w:kern w:val="0"/>
          <w:sz w:val="28"/>
          <w:szCs w:val="28"/>
          <w:lang w:val="en-US" w:eastAsia="zh-CN"/>
        </w:rPr>
        <w:t>5.</w:t>
      </w:r>
      <w:r>
        <w:rPr>
          <w:rFonts w:ascii="宋体" w:hAnsi="宋体" w:eastAsia="宋体" w:cs="宋体"/>
          <w:kern w:val="0"/>
          <w:sz w:val="28"/>
          <w:szCs w:val="28"/>
        </w:rPr>
        <w:t>本项目</w:t>
      </w:r>
      <w:r>
        <w:rPr>
          <w:rFonts w:ascii="宋体" w:hAnsi="宋体" w:eastAsia="宋体" w:cs="宋体"/>
          <w:b/>
          <w:bCs/>
          <w:kern w:val="0"/>
          <w:sz w:val="28"/>
          <w:szCs w:val="28"/>
        </w:rPr>
        <w:t>不接受</w:t>
      </w:r>
      <w:r>
        <w:rPr>
          <w:rFonts w:ascii="宋体" w:hAnsi="宋体" w:eastAsia="宋体" w:cs="宋体"/>
          <w:kern w:val="0"/>
          <w:sz w:val="28"/>
          <w:szCs w:val="28"/>
        </w:rPr>
        <w:t>联合体响应。</w:t>
      </w:r>
    </w:p>
    <w:p w14:paraId="6A0461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三</w:t>
      </w:r>
      <w:r>
        <w:rPr>
          <w:rFonts w:hint="eastAsia" w:ascii="宋体" w:hAnsi="宋体" w:eastAsia="宋体" w:cs="宋体"/>
          <w:b/>
          <w:bCs/>
          <w:i w:val="0"/>
          <w:iCs w:val="0"/>
          <w:caps w:val="0"/>
          <w:color w:val="333333"/>
          <w:spacing w:val="0"/>
          <w:kern w:val="0"/>
          <w:sz w:val="28"/>
          <w:szCs w:val="28"/>
          <w:shd w:val="clear" w:fill="FFFFFF"/>
          <w:lang w:val="en-US" w:eastAsia="zh-CN" w:bidi="ar"/>
        </w:rPr>
        <w:t>、投标文件要求：</w:t>
      </w:r>
    </w:p>
    <w:p w14:paraId="27208BAE">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（一）内容清单：</w:t>
      </w:r>
    </w:p>
    <w:p w14:paraId="292159FA">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1.投标函、法定代表人授权书（如有）、营业执照及资质证书复印件；</w:t>
      </w:r>
    </w:p>
    <w:p w14:paraId="785FDB3B">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2.服务方案（含审计流程、内控评价方法、风险评估模型及时间计划）；</w:t>
      </w:r>
    </w:p>
    <w:p w14:paraId="2AFC0997">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3.近3年同类项目业绩证明（合同复印件及客户评价）；</w:t>
      </w:r>
    </w:p>
    <w:p w14:paraId="3F3C44C1">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4.报价明细表（含税费、差旅费，</w:t>
      </w:r>
      <w:r>
        <w:rPr>
          <w:rFonts w:hint="eastAsia" w:ascii="宋体" w:hAnsi="宋体" w:cs="宋体"/>
          <w:b w:val="0"/>
          <w:bCs/>
          <w:sz w:val="28"/>
          <w:szCs w:val="28"/>
        </w:rPr>
        <w:t>超控制价报价无效</w:t>
      </w:r>
      <w:r>
        <w:rPr>
          <w:rFonts w:hint="eastAsia" w:ascii="宋体" w:hAnsi="宋体" w:eastAsia="宋体" w:cs="宋体"/>
          <w:i w:val="0"/>
          <w:iCs w:val="0"/>
          <w:caps w:val="0"/>
          <w:color w:val="333333"/>
          <w:spacing w:val="0"/>
          <w:kern w:val="0"/>
          <w:sz w:val="28"/>
          <w:szCs w:val="28"/>
          <w:shd w:val="clear" w:fill="FFFFFF"/>
          <w:lang w:val="en-US" w:eastAsia="zh-CN" w:bidi="ar"/>
        </w:rPr>
        <w:t>）；</w:t>
      </w:r>
    </w:p>
    <w:p w14:paraId="589CA8CE">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5.服务团队简历（附项目负责人注册会计师证书、社保证明及医疗行业经验证明）。</w:t>
      </w:r>
    </w:p>
    <w:p w14:paraId="1C7186BB">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（二）格式要求：</w:t>
      </w:r>
    </w:p>
    <w:p w14:paraId="4C4F7422">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1.正本1份（加盖公章）、副本3份；</w:t>
      </w:r>
    </w:p>
    <w:p w14:paraId="45BA189D">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2.密封装袋，封面注明“正本/副本”及项目编号。</w:t>
      </w:r>
    </w:p>
    <w:p w14:paraId="14530A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四</w:t>
      </w:r>
      <w:r>
        <w:rPr>
          <w:rFonts w:hint="eastAsia" w:ascii="宋体" w:hAnsi="宋体" w:eastAsia="宋体" w:cs="宋体"/>
          <w:b/>
          <w:bCs/>
          <w:i w:val="0"/>
          <w:iCs w:val="0"/>
          <w:caps w:val="0"/>
          <w:color w:val="333333"/>
          <w:spacing w:val="0"/>
          <w:kern w:val="0"/>
          <w:sz w:val="28"/>
          <w:szCs w:val="28"/>
          <w:shd w:val="clear" w:fill="FFFFFF"/>
          <w:lang w:val="en-US" w:eastAsia="zh-CN" w:bidi="ar"/>
        </w:rPr>
        <w:t>、磋商文件获取及响应文件递交</w:t>
      </w:r>
    </w:p>
    <w:p w14:paraId="047597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1.获取与截至时间：202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3</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24 </w:t>
      </w:r>
      <w:r>
        <w:rPr>
          <w:rFonts w:hint="eastAsia" w:ascii="宋体" w:hAnsi="宋体" w:eastAsia="宋体" w:cs="宋体"/>
          <w:i w:val="0"/>
          <w:iCs w:val="0"/>
          <w:caps w:val="0"/>
          <w:color w:val="333333"/>
          <w:spacing w:val="0"/>
          <w:kern w:val="0"/>
          <w:sz w:val="28"/>
          <w:szCs w:val="28"/>
          <w:shd w:val="clear" w:fill="FFFFFF"/>
          <w:lang w:val="en-US" w:eastAsia="zh-CN" w:bidi="ar"/>
        </w:rPr>
        <w:t>日至</w:t>
      </w:r>
      <w:r>
        <w:rPr>
          <w:rFonts w:hint="eastAsia" w:ascii="宋体" w:hAnsi="宋体" w:cs="宋体"/>
          <w:i w:val="0"/>
          <w:iCs w:val="0"/>
          <w:caps w:val="0"/>
          <w:color w:val="333333"/>
          <w:spacing w:val="0"/>
          <w:kern w:val="0"/>
          <w:sz w:val="28"/>
          <w:szCs w:val="28"/>
          <w:shd w:val="clear" w:fill="FFFFFF"/>
          <w:lang w:val="en-US" w:eastAsia="zh-CN" w:bidi="ar"/>
        </w:rPr>
        <w:t>3</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30 </w:t>
      </w:r>
      <w:r>
        <w:rPr>
          <w:rFonts w:hint="eastAsia" w:ascii="宋体" w:hAnsi="宋体" w:eastAsia="宋体" w:cs="宋体"/>
          <w:i w:val="0"/>
          <w:iCs w:val="0"/>
          <w:caps w:val="0"/>
          <w:color w:val="333333"/>
          <w:spacing w:val="0"/>
          <w:kern w:val="0"/>
          <w:sz w:val="28"/>
          <w:szCs w:val="28"/>
          <w:shd w:val="clear" w:fill="FFFFFF"/>
          <w:lang w:val="en-US" w:eastAsia="zh-CN" w:bidi="ar"/>
        </w:rPr>
        <w:t>日（工作日9:00-12:00，14:30-17:30）</w:t>
      </w:r>
    </w:p>
    <w:p w14:paraId="2BDFEF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2.地点：线上公告附件自行下载。</w:t>
      </w:r>
    </w:p>
    <w:p w14:paraId="0AFFDF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3.费用：免费下载，报名时需提交加盖公章的营业执照副本复印件、报名表以及法定代表人授权委托书、资质证明等材料”。</w:t>
      </w:r>
    </w:p>
    <w:p w14:paraId="62F652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4.线上报名：报名文件发送至邮箱：251032761@qq.com 或微信提交报名资料：采购办 </w:t>
      </w:r>
      <w:r>
        <w:rPr>
          <w:rFonts w:hint="eastAsia" w:ascii="宋体" w:hAnsi="宋体" w:cs="宋体"/>
          <w:i w:val="0"/>
          <w:iCs w:val="0"/>
          <w:caps w:val="0"/>
          <w:color w:val="333333"/>
          <w:spacing w:val="0"/>
          <w:kern w:val="0"/>
          <w:sz w:val="28"/>
          <w:szCs w:val="28"/>
          <w:shd w:val="clear" w:fill="FFFFFF"/>
          <w:lang w:val="en-US" w:eastAsia="zh-CN" w:bidi="ar"/>
        </w:rPr>
        <w:t>梁老师 19142867990</w:t>
      </w:r>
    </w:p>
    <w:p w14:paraId="085AD8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5.项目咨询：审计科 </w:t>
      </w:r>
      <w:r>
        <w:rPr>
          <w:rFonts w:hint="eastAsia" w:ascii="宋体" w:hAnsi="宋体" w:cs="宋体"/>
          <w:i w:val="0"/>
          <w:iCs w:val="0"/>
          <w:caps w:val="0"/>
          <w:color w:val="333333"/>
          <w:spacing w:val="0"/>
          <w:kern w:val="0"/>
          <w:sz w:val="28"/>
          <w:szCs w:val="28"/>
          <w:shd w:val="clear" w:fill="FFFFFF"/>
          <w:lang w:val="en-US" w:eastAsia="zh-CN" w:bidi="ar"/>
        </w:rPr>
        <w:t>陈先生</w:t>
      </w:r>
      <w:r>
        <w:rPr>
          <w:rFonts w:hint="eastAsia" w:ascii="宋体" w:hAnsi="宋体" w:eastAsia="宋体" w:cs="宋体"/>
          <w:i w:val="0"/>
          <w:iCs w:val="0"/>
          <w:caps w:val="0"/>
          <w:color w:val="333333"/>
          <w:spacing w:val="0"/>
          <w:kern w:val="0"/>
          <w:sz w:val="28"/>
          <w:szCs w:val="28"/>
          <w:shd w:val="clear" w:fill="FFFFFF"/>
          <w:lang w:val="en-US" w:eastAsia="zh-CN" w:bidi="ar"/>
        </w:rPr>
        <w:t xml:space="preserve"> </w:t>
      </w:r>
      <w:r>
        <w:rPr>
          <w:rFonts w:hint="eastAsia" w:ascii="宋体" w:hAnsi="宋体" w:cs="宋体"/>
          <w:i w:val="0"/>
          <w:iCs w:val="0"/>
          <w:caps w:val="0"/>
          <w:color w:val="333333"/>
          <w:spacing w:val="0"/>
          <w:kern w:val="0"/>
          <w:sz w:val="28"/>
          <w:szCs w:val="28"/>
          <w:shd w:val="clear" w:fill="FFFFFF"/>
          <w:lang w:val="en-US" w:eastAsia="zh-CN" w:bidi="ar"/>
        </w:rPr>
        <w:t>18269016196</w:t>
      </w:r>
    </w:p>
    <w:p w14:paraId="6F319A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6.现场磋商：在现场磋商环节，投标人可使用U盘上传PPT进行宣讲，做项目介绍，阐述自身优势，并解答评委相关疑问。</w:t>
      </w:r>
    </w:p>
    <w:p w14:paraId="1C9088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五</w:t>
      </w:r>
      <w:r>
        <w:rPr>
          <w:rFonts w:hint="eastAsia" w:ascii="宋体" w:hAnsi="宋体" w:eastAsia="宋体" w:cs="宋体"/>
          <w:b/>
          <w:bCs/>
          <w:i w:val="0"/>
          <w:iCs w:val="0"/>
          <w:caps w:val="0"/>
          <w:color w:val="333333"/>
          <w:spacing w:val="0"/>
          <w:kern w:val="0"/>
          <w:sz w:val="28"/>
          <w:szCs w:val="28"/>
          <w:shd w:val="clear" w:fill="FFFFFF"/>
          <w:lang w:val="en-US" w:eastAsia="zh-CN" w:bidi="ar"/>
        </w:rPr>
        <w:t>、磋商与开标</w:t>
      </w:r>
    </w:p>
    <w:p w14:paraId="701D90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1.递交投标文件时间：202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1 </w:t>
      </w:r>
      <w:r>
        <w:rPr>
          <w:rFonts w:hint="eastAsia" w:ascii="宋体" w:hAnsi="宋体" w:eastAsia="宋体" w:cs="宋体"/>
          <w:i w:val="0"/>
          <w:iCs w:val="0"/>
          <w:caps w:val="0"/>
          <w:color w:val="333333"/>
          <w:spacing w:val="0"/>
          <w:kern w:val="0"/>
          <w:sz w:val="28"/>
          <w:szCs w:val="28"/>
          <w:shd w:val="clear" w:fill="FFFFFF"/>
          <w:lang w:val="en-US" w:eastAsia="zh-CN" w:bidi="ar"/>
        </w:rPr>
        <w:t>日上午09:30-10:00</w:t>
      </w:r>
    </w:p>
    <w:p w14:paraId="28590E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2.磋商时间：202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1 </w:t>
      </w:r>
      <w:r>
        <w:rPr>
          <w:rFonts w:hint="eastAsia" w:ascii="宋体" w:hAnsi="宋体" w:eastAsia="宋体" w:cs="宋体"/>
          <w:i w:val="0"/>
          <w:iCs w:val="0"/>
          <w:caps w:val="0"/>
          <w:color w:val="333333"/>
          <w:spacing w:val="0"/>
          <w:kern w:val="0"/>
          <w:sz w:val="28"/>
          <w:szCs w:val="28"/>
          <w:shd w:val="clear" w:fill="FFFFFF"/>
          <w:lang w:val="en-US" w:eastAsia="zh-CN" w:bidi="ar"/>
        </w:rPr>
        <w:t>日上午10:00</w:t>
      </w:r>
    </w:p>
    <w:p w14:paraId="143DFC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3.地点：融水苗族自治县人民医院</w:t>
      </w:r>
      <w:r>
        <w:rPr>
          <w:rFonts w:hint="eastAsia" w:ascii="宋体" w:hAnsi="宋体" w:cs="宋体"/>
          <w:i w:val="0"/>
          <w:iCs w:val="0"/>
          <w:caps w:val="0"/>
          <w:color w:val="333333"/>
          <w:spacing w:val="0"/>
          <w:kern w:val="0"/>
          <w:sz w:val="28"/>
          <w:szCs w:val="28"/>
          <w:shd w:val="clear" w:fill="FFFFFF"/>
          <w:lang w:val="en-US" w:eastAsia="zh-CN" w:bidi="ar"/>
        </w:rPr>
        <w:t>9</w:t>
      </w:r>
      <w:r>
        <w:rPr>
          <w:rFonts w:hint="eastAsia" w:ascii="宋体" w:hAnsi="宋体" w:eastAsia="宋体" w:cs="宋体"/>
          <w:i w:val="0"/>
          <w:iCs w:val="0"/>
          <w:caps w:val="0"/>
          <w:color w:val="333333"/>
          <w:spacing w:val="0"/>
          <w:kern w:val="0"/>
          <w:sz w:val="28"/>
          <w:szCs w:val="28"/>
          <w:shd w:val="clear" w:fill="FFFFFF"/>
          <w:lang w:val="en-US" w:eastAsia="zh-CN" w:bidi="ar"/>
        </w:rPr>
        <w:t>号楼</w:t>
      </w:r>
      <w:r>
        <w:rPr>
          <w:rFonts w:hint="eastAsia" w:ascii="宋体" w:hAnsi="宋体" w:cs="宋体"/>
          <w:i w:val="0"/>
          <w:iCs w:val="0"/>
          <w:caps w:val="0"/>
          <w:color w:val="333333"/>
          <w:spacing w:val="0"/>
          <w:kern w:val="0"/>
          <w:sz w:val="28"/>
          <w:szCs w:val="28"/>
          <w:shd w:val="clear" w:fill="FFFFFF"/>
          <w:lang w:val="en-US" w:eastAsia="zh-CN" w:bidi="ar"/>
        </w:rPr>
        <w:t>2</w:t>
      </w:r>
      <w:r>
        <w:rPr>
          <w:rFonts w:hint="eastAsia" w:ascii="宋体" w:hAnsi="宋体" w:eastAsia="宋体" w:cs="宋体"/>
          <w:i w:val="0"/>
          <w:iCs w:val="0"/>
          <w:caps w:val="0"/>
          <w:color w:val="333333"/>
          <w:spacing w:val="0"/>
          <w:kern w:val="0"/>
          <w:sz w:val="28"/>
          <w:szCs w:val="28"/>
          <w:shd w:val="clear" w:fill="FFFFFF"/>
          <w:lang w:val="en-US" w:eastAsia="zh-CN" w:bidi="ar"/>
        </w:rPr>
        <w:t>楼会议室</w:t>
      </w:r>
    </w:p>
    <w:p w14:paraId="228954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4.方式：综合评分法（价格分10+技术分45+商务分45，满分100分，详见附件：竞争性磋商文件）。</w:t>
      </w:r>
    </w:p>
    <w:p w14:paraId="48CE13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六</w:t>
      </w:r>
      <w:r>
        <w:rPr>
          <w:rFonts w:hint="eastAsia" w:ascii="宋体" w:hAnsi="宋体" w:eastAsia="宋体" w:cs="宋体"/>
          <w:b/>
          <w:bCs/>
          <w:i w:val="0"/>
          <w:iCs w:val="0"/>
          <w:caps w:val="0"/>
          <w:color w:val="333333"/>
          <w:spacing w:val="0"/>
          <w:kern w:val="0"/>
          <w:sz w:val="28"/>
          <w:szCs w:val="28"/>
          <w:shd w:val="clear" w:fill="FFFFFF"/>
          <w:lang w:val="en-US" w:eastAsia="zh-CN" w:bidi="ar"/>
        </w:rPr>
        <w:t>、发布媒介</w:t>
      </w:r>
    </w:p>
    <w:p w14:paraId="6622E8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本公告同步发布于融水苗族自治县人民医院官方网站、融水苗族自治县人民医院公众号</w:t>
      </w:r>
      <w:r>
        <w:rPr>
          <w:rFonts w:hint="eastAsia" w:ascii="宋体" w:hAnsi="宋体" w:cs="宋体"/>
          <w:i w:val="0"/>
          <w:iCs w:val="0"/>
          <w:caps w:val="0"/>
          <w:color w:val="333333"/>
          <w:spacing w:val="0"/>
          <w:kern w:val="0"/>
          <w:sz w:val="28"/>
          <w:szCs w:val="28"/>
          <w:shd w:val="clear" w:fill="FFFFFF"/>
          <w:lang w:val="en-US" w:eastAsia="zh-CN" w:bidi="ar"/>
        </w:rPr>
        <w:t>、融水好门户网站</w:t>
      </w:r>
      <w:r>
        <w:rPr>
          <w:rFonts w:hint="eastAsia" w:ascii="宋体" w:hAnsi="宋体" w:eastAsia="宋体" w:cs="宋体"/>
          <w:i w:val="0"/>
          <w:iCs w:val="0"/>
          <w:caps w:val="0"/>
          <w:color w:val="333333"/>
          <w:spacing w:val="0"/>
          <w:kern w:val="0"/>
          <w:sz w:val="28"/>
          <w:szCs w:val="28"/>
          <w:shd w:val="clear" w:fill="FFFFFF"/>
          <w:lang w:val="en-US" w:eastAsia="zh-CN" w:bidi="ar"/>
        </w:rPr>
        <w:t>。</w:t>
      </w:r>
    </w:p>
    <w:p w14:paraId="378372F5">
      <w:pPr>
        <w:keepNext w:val="0"/>
        <w:keepLines w:val="0"/>
        <w:pageBreakBefore w:val="0"/>
        <w:widowControl w:val="0"/>
        <w:kinsoku/>
        <w:wordWrap/>
        <w:overflowPunct/>
        <w:topLinePunct w:val="0"/>
        <w:autoSpaceDE/>
        <w:autoSpaceDN/>
        <w:bidi w:val="0"/>
        <w:adjustRightInd/>
        <w:snapToGrid/>
        <w:spacing w:line="240" w:lineRule="auto"/>
        <w:ind w:firstLine="5320" w:firstLineChars="1900"/>
        <w:jc w:val="both"/>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融水苗族自治县人民医院</w:t>
      </w:r>
    </w:p>
    <w:p w14:paraId="57C4DFAF">
      <w:pPr>
        <w:keepNext w:val="0"/>
        <w:keepLines w:val="0"/>
        <w:pageBreakBefore w:val="0"/>
        <w:widowControl w:val="0"/>
        <w:kinsoku/>
        <w:wordWrap/>
        <w:overflowPunct/>
        <w:topLinePunct w:val="0"/>
        <w:autoSpaceDE/>
        <w:autoSpaceDN/>
        <w:bidi w:val="0"/>
        <w:adjustRightInd/>
        <w:snapToGrid/>
        <w:spacing w:line="240" w:lineRule="auto"/>
        <w:ind w:firstLine="5880" w:firstLineChars="2100"/>
        <w:jc w:val="both"/>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202</w:t>
      </w:r>
      <w:r>
        <w:rPr>
          <w:rFonts w:hint="eastAsia" w:ascii="宋体" w:hAnsi="宋体" w:cs="宋体"/>
          <w:sz w:val="28"/>
          <w:szCs w:val="36"/>
          <w:lang w:val="en-US" w:eastAsia="zh-CN"/>
        </w:rPr>
        <w:t>6</w:t>
      </w:r>
      <w:r>
        <w:rPr>
          <w:rFonts w:hint="eastAsia" w:ascii="宋体" w:hAnsi="宋体" w:eastAsia="宋体" w:cs="宋体"/>
          <w:sz w:val="28"/>
          <w:szCs w:val="36"/>
          <w:lang w:val="en-US" w:eastAsia="zh-CN"/>
        </w:rPr>
        <w:t>年</w:t>
      </w:r>
      <w:r>
        <w:rPr>
          <w:rFonts w:hint="eastAsia" w:ascii="宋体" w:hAnsi="宋体" w:cs="宋体"/>
          <w:sz w:val="28"/>
          <w:szCs w:val="36"/>
          <w:lang w:val="en-US" w:eastAsia="zh-CN"/>
        </w:rPr>
        <w:t>3</w:t>
      </w:r>
      <w:r>
        <w:rPr>
          <w:rFonts w:hint="eastAsia" w:ascii="宋体" w:hAnsi="宋体" w:eastAsia="宋体" w:cs="宋体"/>
          <w:sz w:val="28"/>
          <w:szCs w:val="36"/>
          <w:lang w:val="en-US" w:eastAsia="zh-CN"/>
        </w:rPr>
        <w:t>月</w:t>
      </w:r>
      <w:r>
        <w:rPr>
          <w:rFonts w:hint="eastAsia" w:ascii="宋体" w:hAnsi="宋体" w:cs="宋体"/>
          <w:sz w:val="28"/>
          <w:szCs w:val="36"/>
          <w:lang w:val="en-US" w:eastAsia="zh-CN"/>
        </w:rPr>
        <w:t xml:space="preserve">24 </w:t>
      </w:r>
      <w:r>
        <w:rPr>
          <w:rFonts w:hint="eastAsia" w:ascii="宋体" w:hAnsi="宋体" w:eastAsia="宋体" w:cs="宋体"/>
          <w:sz w:val="28"/>
          <w:szCs w:val="36"/>
          <w:lang w:val="en-US" w:eastAsia="zh-CN"/>
        </w:rPr>
        <w:t>日</w:t>
      </w:r>
    </w:p>
    <w:p w14:paraId="551E30BA">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ascii="宋体" w:hAnsi="宋体" w:eastAsia="宋体" w:cs="宋体"/>
          <w:sz w:val="28"/>
          <w:szCs w:val="36"/>
        </w:rPr>
      </w:pPr>
    </w:p>
    <w:bookmarkEnd w:id="4"/>
    <w:bookmarkEnd w:id="5"/>
    <w:p w14:paraId="7ED15506">
      <w:pPr>
        <w:rPr>
          <w:rFonts w:hint="eastAsia"/>
          <w:lang w:val="en-US" w:eastAsia="zh-CN"/>
        </w:rPr>
      </w:pPr>
      <w:bookmarkStart w:id="6" w:name="_Toc6918"/>
      <w:bookmarkStart w:id="7" w:name="_Toc26161"/>
    </w:p>
    <w:p w14:paraId="0815BCBF">
      <w:pPr>
        <w:rPr>
          <w:rFonts w:hint="eastAsia"/>
          <w:lang w:val="en-US" w:eastAsia="zh-CN"/>
        </w:rPr>
      </w:pPr>
    </w:p>
    <w:p w14:paraId="1485FCFA">
      <w:pPr>
        <w:rPr>
          <w:rFonts w:hint="eastAsia"/>
          <w:lang w:val="en-US" w:eastAsia="zh-CN"/>
        </w:rPr>
      </w:pPr>
    </w:p>
    <w:p w14:paraId="3EF29A8A">
      <w:pPr>
        <w:rPr>
          <w:rFonts w:hint="eastAsia"/>
          <w:lang w:val="en-US" w:eastAsia="zh-CN"/>
        </w:rPr>
      </w:pPr>
    </w:p>
    <w:p w14:paraId="454A10F0">
      <w:pPr>
        <w:pStyle w:val="2"/>
        <w:keepNext/>
        <w:keepLines/>
        <w:pageBreakBefore w:val="0"/>
        <w:widowControl w:val="0"/>
        <w:numPr>
          <w:ilvl w:val="0"/>
          <w:numId w:val="3"/>
        </w:numPr>
        <w:kinsoku/>
        <w:wordWrap/>
        <w:overflowPunct/>
        <w:topLinePunct w:val="0"/>
        <w:autoSpaceDE/>
        <w:autoSpaceDN/>
        <w:bidi w:val="0"/>
        <w:adjustRightInd/>
        <w:snapToGrid/>
        <w:spacing w:line="240" w:lineRule="auto"/>
        <w:jc w:val="center"/>
        <w:textAlignment w:val="auto"/>
        <w:rPr>
          <w:rFonts w:hint="eastAsia" w:ascii="宋体" w:hAnsi="宋体" w:cs="宋体"/>
          <w:sz w:val="32"/>
          <w:szCs w:val="32"/>
          <w:lang w:val="en-US" w:eastAsia="zh-CN"/>
        </w:rPr>
      </w:pPr>
      <w:r>
        <w:rPr>
          <w:rFonts w:hint="eastAsia" w:ascii="宋体" w:hAnsi="宋体" w:eastAsia="宋体" w:cs="宋体"/>
          <w:sz w:val="32"/>
          <w:szCs w:val="32"/>
        </w:rPr>
        <w:t xml:space="preserve"> </w:t>
      </w:r>
      <w:r>
        <w:rPr>
          <w:rFonts w:hint="eastAsia" w:ascii="宋体" w:hAnsi="宋体" w:cs="宋体"/>
          <w:sz w:val="32"/>
          <w:szCs w:val="32"/>
          <w:lang w:val="en-US" w:eastAsia="zh-CN"/>
        </w:rPr>
        <w:t>服务项目需求</w:t>
      </w:r>
    </w:p>
    <w:p w14:paraId="5201D92E">
      <w:pPr>
        <w:widowControl/>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一、 项目背景与目标</w:t>
      </w:r>
    </w:p>
    <w:p w14:paraId="43C85F1D">
      <w:pPr>
        <w:widowControl/>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为确保医院财务报告的规范性、真实性，加强内部控制，有效管理运营风险，并保障审计工作的连续性与一致性，现计划采购连续三个年度（2025、2026、2027年）的审计及相关服务。</w:t>
      </w:r>
    </w:p>
    <w:p w14:paraId="6DDC8EA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二、 分包服务内容详述</w:t>
      </w:r>
    </w:p>
    <w:p w14:paraId="02AEC5E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分包一：年度财务报告审计</w:t>
      </w:r>
    </w:p>
    <w:p w14:paraId="0DCA803C">
      <w:pPr>
        <w:keepNext w:val="0"/>
        <w:keepLines w:val="0"/>
        <w:pageBreakBefore w:val="0"/>
        <w:widowControl/>
        <w:numPr>
          <w:ilvl w:val="0"/>
          <w:numId w:val="4"/>
        </w:numPr>
        <w:kinsoku/>
        <w:wordWrap/>
        <w:overflowPunct/>
        <w:topLinePunct w:val="0"/>
        <w:autoSpaceDE/>
        <w:autoSpaceDN/>
        <w:bidi w:val="0"/>
        <w:adjustRightInd/>
        <w:snapToGrid/>
        <w:spacing w:before="100" w:beforeAutospacing="1" w:after="100" w:afterAutospacing="1"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服务内容：</w:t>
      </w:r>
      <w:r>
        <w:rPr>
          <w:rFonts w:hint="eastAsia" w:asciiTheme="minorEastAsia" w:hAnsiTheme="minorEastAsia" w:eastAsiaTheme="minorEastAsia" w:cstheme="minorEastAsia"/>
          <w:kern w:val="0"/>
          <w:sz w:val="28"/>
          <w:szCs w:val="28"/>
        </w:rPr>
        <w:t>依据《中国注册会计师审计准则》及相关法律法规，对融水苗族自治县人民医院2025、2026、2027年度财务报表进行审计。</w:t>
      </w:r>
    </w:p>
    <w:p w14:paraId="2856B63F">
      <w:pPr>
        <w:keepNext w:val="0"/>
        <w:keepLines w:val="0"/>
        <w:pageBreakBefore w:val="0"/>
        <w:widowControl/>
        <w:numPr>
          <w:ilvl w:val="0"/>
          <w:numId w:val="4"/>
        </w:numPr>
        <w:kinsoku/>
        <w:wordWrap/>
        <w:overflowPunct/>
        <w:topLinePunct w:val="0"/>
        <w:autoSpaceDE/>
        <w:autoSpaceDN/>
        <w:bidi w:val="0"/>
        <w:adjustRightInd/>
        <w:snapToGrid/>
        <w:spacing w:before="100" w:beforeAutospacing="1" w:after="100" w:afterAutospacing="1"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交付成果：</w:t>
      </w:r>
      <w:r>
        <w:rPr>
          <w:rFonts w:hint="eastAsia" w:asciiTheme="minorEastAsia" w:hAnsiTheme="minorEastAsia" w:eastAsiaTheme="minorEastAsia" w:cstheme="minorEastAsia"/>
          <w:kern w:val="0"/>
          <w:sz w:val="28"/>
          <w:szCs w:val="28"/>
        </w:rPr>
        <w:t>针对每个年度出具标准的无保留意见、保留意见、否定意见或无法表示意见的《审计报告》及《管理建议书》。《审计报告》需符合财政部及卫生健康部门对公立医院财务报告的编制与审计要求。</w:t>
      </w:r>
    </w:p>
    <w:p w14:paraId="4D6B99C0">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分包二：内部控制评价及风险评估</w:t>
      </w:r>
    </w:p>
    <w:p w14:paraId="1B6B7803">
      <w:pPr>
        <w:keepNext w:val="0"/>
        <w:keepLines w:val="0"/>
        <w:pageBreakBefore w:val="0"/>
        <w:widowControl/>
        <w:numPr>
          <w:ilvl w:val="0"/>
          <w:numId w:val="5"/>
        </w:numPr>
        <w:kinsoku/>
        <w:wordWrap/>
        <w:overflowPunct/>
        <w:topLinePunct w:val="0"/>
        <w:autoSpaceDE/>
        <w:autoSpaceDN/>
        <w:bidi w:val="0"/>
        <w:adjustRightInd/>
        <w:snapToGrid/>
        <w:spacing w:before="100" w:beforeAutospacing="1" w:after="100" w:afterAutospacing="1"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服务内容：</w:t>
      </w:r>
      <w:r>
        <w:rPr>
          <w:rFonts w:hint="eastAsia" w:asciiTheme="minorEastAsia" w:hAnsiTheme="minorEastAsia" w:eastAsiaTheme="minorEastAsia" w:cstheme="minorEastAsia"/>
          <w:kern w:val="0"/>
          <w:sz w:val="28"/>
          <w:szCs w:val="28"/>
        </w:rPr>
        <w:t>对医院预算管理、收支管理、政府采购、资产管理、建设项目管理、合同管理等经济活动的内部控制设计与运行有效性进行审查与评价；识别并评估医院运营及财务相关的主要风险。</w:t>
      </w:r>
    </w:p>
    <w:p w14:paraId="47A0E352">
      <w:pPr>
        <w:keepNext w:val="0"/>
        <w:keepLines w:val="0"/>
        <w:pageBreakBefore w:val="0"/>
        <w:widowControl/>
        <w:numPr>
          <w:ilvl w:val="0"/>
          <w:numId w:val="5"/>
        </w:numPr>
        <w:kinsoku/>
        <w:wordWrap/>
        <w:overflowPunct/>
        <w:topLinePunct w:val="0"/>
        <w:autoSpaceDE/>
        <w:autoSpaceDN/>
        <w:bidi w:val="0"/>
        <w:adjustRightInd/>
        <w:snapToGrid/>
        <w:spacing w:before="100" w:beforeAutospacing="1" w:after="100" w:afterAutospacing="1"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交付成果：</w:t>
      </w:r>
      <w:r>
        <w:rPr>
          <w:rFonts w:hint="eastAsia" w:asciiTheme="minorEastAsia" w:hAnsiTheme="minorEastAsia" w:eastAsiaTheme="minorEastAsia" w:cstheme="minorEastAsia"/>
          <w:kern w:val="0"/>
          <w:sz w:val="28"/>
          <w:szCs w:val="28"/>
        </w:rPr>
        <w:t>针对每个年度出具《内部控制评价报告》及《风险评估报告》，报告应指出内部控制缺陷、风险点，并提出具体、可行的改进建议。</w:t>
      </w:r>
    </w:p>
    <w:p w14:paraId="43472B8D">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三、 服务团队要求</w:t>
      </w:r>
    </w:p>
    <w:p w14:paraId="3F7DDF4A">
      <w:pPr>
        <w:keepNext w:val="0"/>
        <w:keepLines w:val="0"/>
        <w:pageBreakBefore w:val="0"/>
        <w:widowControl/>
        <w:kinsoku/>
        <w:wordWrap/>
        <w:overflowPunct/>
        <w:topLinePunct w:val="0"/>
        <w:autoSpaceDE/>
        <w:autoSpaceDN/>
        <w:bidi w:val="0"/>
        <w:adjustRightInd/>
        <w:snapToGrid/>
        <w:spacing w:line="320" w:lineRule="exact"/>
        <w:ind w:firstLine="560" w:firstLineChars="200"/>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供应商应组建固定的、经验丰富的服务团队，项目核心成员（包括项目负责人）在三年服务期内应保持相对稳定，以确保服务的连续性和对医院情况的持续了解。</w:t>
      </w:r>
    </w:p>
    <w:p w14:paraId="1AF0A0B3">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四、 时间要求</w:t>
      </w:r>
    </w:p>
    <w:p w14:paraId="5FD726D3">
      <w:pPr>
        <w:keepNext w:val="0"/>
        <w:keepLines w:val="0"/>
        <w:pageBreakBefore w:val="0"/>
        <w:widowControl/>
        <w:kinsoku/>
        <w:wordWrap/>
        <w:overflowPunct/>
        <w:topLinePunct w:val="0"/>
        <w:autoSpaceDE/>
        <w:autoSpaceDN/>
        <w:bidi w:val="0"/>
        <w:adjustRightInd/>
        <w:snapToGrid/>
        <w:spacing w:line="320" w:lineRule="exact"/>
        <w:ind w:firstLine="560" w:firstLineChars="200"/>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供应商需在每年医院年度决算工作完成后，按照采购人要求的时间进度进场审计，并在约定时间内提交所有正式报告。</w:t>
      </w:r>
    </w:p>
    <w:p w14:paraId="6CB99A42">
      <w:pPr>
        <w:numPr>
          <w:ilvl w:val="0"/>
          <w:numId w:val="0"/>
        </w:numPr>
        <w:rPr>
          <w:rFonts w:hint="default"/>
          <w:lang w:val="en-US" w:eastAsia="zh-CN"/>
        </w:rPr>
      </w:pPr>
    </w:p>
    <w:p w14:paraId="583F4D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2"/>
          <w:sz w:val="28"/>
          <w:szCs w:val="28"/>
          <w:lang w:val="en-US" w:eastAsia="zh-CN"/>
        </w:rPr>
        <w:t>五</w:t>
      </w: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b/>
          <w:bCs/>
          <w:i w:val="0"/>
          <w:iCs w:val="0"/>
          <w:caps w:val="0"/>
          <w:color w:val="333333"/>
          <w:spacing w:val="0"/>
          <w:kern w:val="0"/>
          <w:sz w:val="28"/>
          <w:szCs w:val="28"/>
          <w:shd w:val="clear" w:fill="FFFFFF"/>
          <w:lang w:val="en-US" w:eastAsia="zh-CN" w:bidi="ar"/>
        </w:rPr>
        <w:t>投标文件要求：</w:t>
      </w:r>
    </w:p>
    <w:p w14:paraId="78139350">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（一）内容清单：</w:t>
      </w:r>
    </w:p>
    <w:p w14:paraId="2DFABDF5">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1.投标函、法定代表人授权书（如有）、营业执照及资质证书复印件；</w:t>
      </w:r>
    </w:p>
    <w:p w14:paraId="7D8ADA83">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2.服务方案（含审计流程、内控评价方法、风险评估模型及时间计划）；</w:t>
      </w:r>
    </w:p>
    <w:p w14:paraId="1B41A477">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3.近3年同类项目业绩证明（合同复印件及客户评价）；</w:t>
      </w:r>
    </w:p>
    <w:p w14:paraId="79444D59">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4.报价明细表（含税费、差旅费，</w:t>
      </w:r>
      <w:r>
        <w:rPr>
          <w:rFonts w:hint="eastAsia" w:ascii="宋体" w:hAnsi="宋体" w:cs="宋体"/>
          <w:b w:val="0"/>
          <w:bCs/>
          <w:sz w:val="28"/>
          <w:szCs w:val="28"/>
        </w:rPr>
        <w:t>超控制价报价无效</w:t>
      </w:r>
      <w:r>
        <w:rPr>
          <w:rFonts w:hint="eastAsia" w:ascii="宋体" w:hAnsi="宋体" w:eastAsia="宋体" w:cs="宋体"/>
          <w:i w:val="0"/>
          <w:iCs w:val="0"/>
          <w:caps w:val="0"/>
          <w:color w:val="333333"/>
          <w:spacing w:val="0"/>
          <w:kern w:val="0"/>
          <w:sz w:val="28"/>
          <w:szCs w:val="28"/>
          <w:shd w:val="clear" w:fill="FFFFFF"/>
          <w:lang w:val="en-US" w:eastAsia="zh-CN" w:bidi="ar"/>
        </w:rPr>
        <w:t>）；</w:t>
      </w:r>
    </w:p>
    <w:p w14:paraId="4123C9A6">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5.服务团队简历（附项目负责人注册会计师证书、社保证明及医疗行业经验证明）。</w:t>
      </w:r>
    </w:p>
    <w:p w14:paraId="10EAD3D5">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（二）格式要求：</w:t>
      </w:r>
    </w:p>
    <w:p w14:paraId="533CF2B1">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1.正本1份（加盖公章）、副本3份；</w:t>
      </w:r>
    </w:p>
    <w:p w14:paraId="4AA341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2.密封装袋，封面注明“正本/副本”及项目编号</w:t>
      </w:r>
      <w:r>
        <w:rPr>
          <w:rFonts w:hint="eastAsia" w:ascii="宋体" w:hAnsi="宋体" w:eastAsia="宋体" w:cs="宋体"/>
          <w:i w:val="0"/>
          <w:iCs w:val="0"/>
          <w:caps w:val="0"/>
          <w:color w:val="333333"/>
          <w:spacing w:val="0"/>
          <w:kern w:val="2"/>
          <w:sz w:val="28"/>
          <w:szCs w:val="28"/>
        </w:rPr>
        <w:t>。</w:t>
      </w:r>
    </w:p>
    <w:p w14:paraId="4C3EA3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281" w:firstLineChars="100"/>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cs="宋体"/>
          <w:b/>
          <w:bCs/>
          <w:i w:val="0"/>
          <w:iCs w:val="0"/>
          <w:caps w:val="0"/>
          <w:color w:val="333333"/>
          <w:spacing w:val="0"/>
          <w:kern w:val="2"/>
          <w:sz w:val="28"/>
          <w:szCs w:val="28"/>
          <w:lang w:val="en-US" w:eastAsia="zh-CN"/>
        </w:rPr>
        <w:t>六</w:t>
      </w: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b/>
          <w:bCs/>
          <w:i w:val="0"/>
          <w:iCs w:val="0"/>
          <w:caps w:val="0"/>
          <w:color w:val="333333"/>
          <w:spacing w:val="0"/>
          <w:kern w:val="2"/>
          <w:sz w:val="28"/>
          <w:szCs w:val="28"/>
        </w:rPr>
        <w:t>评分标准</w:t>
      </w: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详</w:t>
      </w:r>
      <w:r>
        <w:rPr>
          <w:rFonts w:hint="eastAsia" w:ascii="宋体" w:hAnsi="宋体" w:eastAsia="宋体" w:cs="宋体"/>
          <w:i w:val="0"/>
          <w:iCs w:val="0"/>
          <w:caps w:val="0"/>
          <w:color w:val="333333"/>
          <w:spacing w:val="0"/>
          <w:kern w:val="2"/>
          <w:sz w:val="28"/>
          <w:szCs w:val="28"/>
        </w:rPr>
        <w:t>见附件</w:t>
      </w: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w:t>
      </w:r>
    </w:p>
    <w:p w14:paraId="4CF33DA0">
      <w:pPr>
        <w:widowControl/>
        <w:ind w:firstLine="280" w:firstLineChars="100"/>
        <w:jc w:val="both"/>
        <w:rPr>
          <w:rFonts w:hint="eastAsia" w:asciiTheme="minorEastAsia" w:hAnsiTheme="minorEastAsia" w:eastAsiaTheme="minorEastAsia" w:cstheme="minorEastAsia"/>
          <w:b/>
          <w:bCs/>
          <w:kern w:val="0"/>
          <w:sz w:val="28"/>
          <w:szCs w:val="28"/>
        </w:rPr>
      </w:pPr>
      <w:r>
        <w:rPr>
          <w:rFonts w:hint="eastAsia" w:ascii="宋体" w:hAnsi="宋体" w:cs="宋体"/>
          <w:i w:val="0"/>
          <w:iCs w:val="0"/>
          <w:caps w:val="0"/>
          <w:color w:val="333333"/>
          <w:spacing w:val="0"/>
          <w:kern w:val="2"/>
          <w:sz w:val="28"/>
          <w:szCs w:val="28"/>
          <w:lang w:val="en-US" w:eastAsia="zh-CN"/>
        </w:rPr>
        <w:t>七、</w:t>
      </w:r>
      <w:r>
        <w:rPr>
          <w:rFonts w:hint="eastAsia" w:asciiTheme="minorEastAsia" w:hAnsiTheme="minorEastAsia" w:eastAsiaTheme="minorEastAsia" w:cstheme="minorEastAsia"/>
          <w:b/>
          <w:bCs/>
          <w:kern w:val="0"/>
          <w:sz w:val="28"/>
          <w:szCs w:val="28"/>
        </w:rPr>
        <w:t>供应商响应文件编制要求</w:t>
      </w:r>
    </w:p>
    <w:p w14:paraId="786FBB1F">
      <w:pPr>
        <w:widowControl/>
        <w:numPr>
          <w:ilvl w:val="0"/>
          <w:numId w:val="6"/>
        </w:numPr>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响应文件组成：</w:t>
      </w:r>
      <w:r>
        <w:rPr>
          <w:rFonts w:hint="eastAsia" w:asciiTheme="minorEastAsia" w:hAnsiTheme="minorEastAsia" w:eastAsiaTheme="minorEastAsia" w:cstheme="minorEastAsia"/>
          <w:kern w:val="0"/>
          <w:sz w:val="28"/>
          <w:szCs w:val="28"/>
        </w:rPr>
        <w:t>资格证明文件、技术服务方案、商务响应方案、报价文件。</w:t>
      </w:r>
    </w:p>
    <w:p w14:paraId="2AEA6F36">
      <w:pPr>
        <w:widowControl/>
        <w:numPr>
          <w:ilvl w:val="0"/>
          <w:numId w:val="6"/>
        </w:numPr>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报价要求：</w:t>
      </w:r>
      <w:r>
        <w:rPr>
          <w:rFonts w:hint="eastAsia" w:asciiTheme="minorEastAsia" w:hAnsiTheme="minorEastAsia" w:eastAsiaTheme="minorEastAsia" w:cstheme="minorEastAsia"/>
          <w:kern w:val="0"/>
          <w:sz w:val="28"/>
          <w:szCs w:val="28"/>
        </w:rPr>
        <w:t>报价为含税全包价，包含完成本项目所需的一切人工、差旅、税费等所有费用。需分别报出：</w:t>
      </w:r>
    </w:p>
    <w:p w14:paraId="4C02EE07">
      <w:pPr>
        <w:widowControl/>
        <w:numPr>
          <w:ilvl w:val="1"/>
          <w:numId w:val="6"/>
        </w:numPr>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分包一：三年服务总价及各年度价格。</w:t>
      </w:r>
    </w:p>
    <w:p w14:paraId="50A41257">
      <w:pPr>
        <w:widowControl/>
        <w:numPr>
          <w:ilvl w:val="1"/>
          <w:numId w:val="6"/>
        </w:numPr>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分包二：三年服务总价及各年度价格。</w:t>
      </w:r>
    </w:p>
    <w:p w14:paraId="398B3073">
      <w:pPr>
        <w:widowControl/>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（若响应多个分包，可报出组合优惠价，但须同时列明分项报价。）</w:t>
      </w:r>
    </w:p>
    <w:p w14:paraId="693679A5">
      <w:pPr>
        <w:widowControl/>
        <w:numPr>
          <w:ilvl w:val="0"/>
          <w:numId w:val="6"/>
        </w:numPr>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技术服务方案：</w:t>
      </w:r>
      <w:r>
        <w:rPr>
          <w:rFonts w:hint="eastAsia" w:asciiTheme="minorEastAsia" w:hAnsiTheme="minorEastAsia" w:eastAsiaTheme="minorEastAsia" w:cstheme="minorEastAsia"/>
          <w:kern w:val="0"/>
          <w:sz w:val="28"/>
          <w:szCs w:val="28"/>
        </w:rPr>
        <w:t>应包括对服务内容的理解、具体实施计划与流程、项目团队介绍（特别是医疗机构审计经验）、质量保障措施等。</w:t>
      </w:r>
    </w:p>
    <w:p w14:paraId="34B727D6">
      <w:pPr>
        <w:widowControl/>
        <w:numPr>
          <w:ilvl w:val="0"/>
          <w:numId w:val="6"/>
        </w:numPr>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商务响应方案：</w:t>
      </w:r>
      <w:r>
        <w:rPr>
          <w:rFonts w:hint="eastAsia" w:asciiTheme="minorEastAsia" w:hAnsiTheme="minorEastAsia" w:eastAsiaTheme="minorEastAsia" w:cstheme="minorEastAsia"/>
          <w:kern w:val="0"/>
          <w:sz w:val="28"/>
          <w:szCs w:val="28"/>
        </w:rPr>
        <w:t>应包括服务承诺、应急方案、保密承诺等。</w:t>
      </w:r>
    </w:p>
    <w:p w14:paraId="64BC5455">
      <w:pPr>
        <w:widowControl/>
        <w:numPr>
          <w:ilvl w:val="0"/>
          <w:numId w:val="7"/>
        </w:numPr>
        <w:spacing w:before="100" w:beforeAutospacing="1" w:after="100" w:afterAutospacing="1"/>
        <w:ind w:left="360" w:leftChars="0"/>
        <w:jc w:val="left"/>
        <w:rPr>
          <w:rFonts w:hint="eastAsia" w:asciiTheme="minorEastAsia" w:hAnsiTheme="minorEastAsia" w:eastAsiaTheme="minorEastAsia" w:cstheme="minorEastAsia"/>
          <w:b/>
          <w:bCs/>
          <w:kern w:val="0"/>
          <w:sz w:val="28"/>
          <w:szCs w:val="28"/>
          <w:lang w:val="en-US" w:eastAsia="zh-CN"/>
        </w:rPr>
      </w:pPr>
      <w:r>
        <w:rPr>
          <w:rFonts w:hint="eastAsia" w:asciiTheme="minorEastAsia" w:hAnsiTheme="minorEastAsia" w:eastAsiaTheme="minorEastAsia" w:cstheme="minorEastAsia"/>
          <w:b/>
          <w:bCs/>
          <w:kern w:val="0"/>
          <w:sz w:val="28"/>
          <w:szCs w:val="28"/>
          <w:lang w:val="en-US" w:eastAsia="zh-CN"/>
        </w:rPr>
        <w:t>供应商签约方案：</w:t>
      </w:r>
    </w:p>
    <w:p w14:paraId="624C76D9">
      <w:pPr>
        <w:keepNext w:val="0"/>
        <w:keepLines w:val="0"/>
        <w:widowControl/>
        <w:suppressLineNumbers w:val="0"/>
        <w:jc w:val="left"/>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kern w:val="0"/>
          <w:sz w:val="28"/>
          <w:szCs w:val="28"/>
          <w:lang w:val="en-US" w:eastAsia="zh-CN"/>
        </w:rPr>
        <w:t xml:space="preserve">    </w:t>
      </w:r>
      <w:r>
        <w:rPr>
          <w:rFonts w:hint="eastAsia" w:asciiTheme="minorEastAsia" w:hAnsiTheme="minorEastAsia" w:eastAsiaTheme="minorEastAsia" w:cstheme="minorEastAsia"/>
          <w:kern w:val="0"/>
          <w:sz w:val="32"/>
          <w:szCs w:val="32"/>
          <w:lang w:val="en-US" w:eastAsia="zh-CN"/>
        </w:rPr>
        <w:t xml:space="preserve"> </w:t>
      </w:r>
      <w:r>
        <w:rPr>
          <w:rFonts w:hint="eastAsia" w:asciiTheme="minorEastAsia" w:hAnsiTheme="minorEastAsia" w:eastAsiaTheme="minorEastAsia" w:cstheme="minorEastAsia"/>
          <w:b w:val="0"/>
          <w:bCs w:val="0"/>
          <w:kern w:val="0"/>
          <w:sz w:val="28"/>
          <w:szCs w:val="28"/>
          <w:lang w:val="en-US" w:eastAsia="zh-CN"/>
        </w:rPr>
        <w:t>本项目服务期3年，采购方与遴选供应商实行一年一签，每年签订服务合同，逐年考核、合格续签，保障服务贴合需求。</w:t>
      </w:r>
    </w:p>
    <w:p w14:paraId="7279ABA6">
      <w:pPr>
        <w:widowControl/>
        <w:numPr>
          <w:numId w:val="0"/>
        </w:numPr>
        <w:spacing w:before="100" w:beforeAutospacing="1" w:after="100" w:afterAutospacing="1"/>
        <w:jc w:val="left"/>
        <w:rPr>
          <w:rFonts w:hint="default" w:asciiTheme="minorEastAsia" w:hAnsiTheme="minorEastAsia" w:eastAsiaTheme="minorEastAsia" w:cstheme="minorEastAsia"/>
          <w:kern w:val="0"/>
          <w:sz w:val="28"/>
          <w:szCs w:val="28"/>
          <w:lang w:val="en-US" w:eastAsia="zh-CN"/>
        </w:rPr>
      </w:pPr>
    </w:p>
    <w:p w14:paraId="7CA5B1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280" w:firstLineChars="100"/>
        <w:jc w:val="both"/>
        <w:textAlignment w:val="auto"/>
        <w:rPr>
          <w:rFonts w:hint="eastAsia" w:ascii="宋体" w:hAnsi="宋体" w:eastAsia="宋体" w:cs="宋体"/>
          <w:i w:val="0"/>
          <w:iCs w:val="0"/>
          <w:caps w:val="0"/>
          <w:color w:val="333333"/>
          <w:spacing w:val="0"/>
          <w:kern w:val="2"/>
          <w:sz w:val="28"/>
          <w:szCs w:val="28"/>
          <w:lang w:val="en-US" w:eastAsia="zh-CN"/>
        </w:rPr>
      </w:pPr>
    </w:p>
    <w:bookmarkEnd w:id="6"/>
    <w:bookmarkEnd w:id="7"/>
    <w:p w14:paraId="3279717B">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34953BA0">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p>
    <w:p w14:paraId="09F398F1">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p>
    <w:p w14:paraId="7023215F">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78254E76">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3DC8B7B1">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b/>
          <w:bCs/>
          <w:sz w:val="48"/>
          <w:szCs w:val="48"/>
        </w:rPr>
      </w:pPr>
    </w:p>
    <w:p w14:paraId="736495E5">
      <w:pPr>
        <w:pStyle w:val="2"/>
        <w:keepNext/>
        <w:keepLines/>
        <w:pageBreakBefore w:val="0"/>
        <w:widowControl w:val="0"/>
        <w:kinsoku/>
        <w:wordWrap/>
        <w:overflowPunct/>
        <w:topLinePunct w:val="0"/>
        <w:autoSpaceDE/>
        <w:autoSpaceDN/>
        <w:bidi w:val="0"/>
        <w:adjustRightInd/>
        <w:snapToGrid/>
        <w:spacing w:line="240" w:lineRule="auto"/>
        <w:ind w:firstLine="2249" w:firstLineChars="700"/>
        <w:jc w:val="both"/>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p>
    <w:p w14:paraId="557A581E">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b/>
          <w:bCs/>
          <w:sz w:val="48"/>
          <w:szCs w:val="48"/>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146399EF">
      <w:pPr>
        <w:snapToGrid w:val="0"/>
        <w:spacing w:line="360" w:lineRule="auto"/>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项目名称：</w:t>
      </w:r>
      <w:r>
        <w:rPr>
          <w:rFonts w:hint="eastAsia" w:ascii="宋体" w:hAnsi="宋体" w:eastAsia="宋体" w:cs="宋体"/>
          <w:color w:val="auto"/>
          <w:sz w:val="36"/>
          <w:szCs w:val="36"/>
          <w:lang w:val="en-US" w:eastAsia="zh-CN"/>
        </w:rPr>
        <w:t>融水苗族自治县人民医院2025-2027年度审计（一年一审）服务采购项目</w:t>
      </w: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rPr>
          <w:rFonts w:hint="default"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w:t>
      </w:r>
      <w:r>
        <w:rPr>
          <w:rFonts w:hint="eastAsia" w:ascii="宋体" w:hAnsi="宋体" w:cs="宋体"/>
          <w:color w:val="auto"/>
          <w:sz w:val="32"/>
          <w:szCs w:val="32"/>
          <w:lang w:val="en-US" w:eastAsia="zh-CN"/>
        </w:rPr>
        <w:t>6058</w:t>
      </w:r>
    </w:p>
    <w:p w14:paraId="0FAAD8F4">
      <w:pPr>
        <w:snapToGrid w:val="0"/>
        <w:spacing w:line="360" w:lineRule="auto"/>
        <w:rPr>
          <w:rFonts w:hint="eastAsia" w:ascii="宋体" w:hAnsi="宋体" w:eastAsia="宋体" w:cs="宋体"/>
          <w:color w:val="auto"/>
          <w:sz w:val="32"/>
          <w:szCs w:val="32"/>
        </w:rPr>
      </w:pPr>
    </w:p>
    <w:p w14:paraId="4EDF937E">
      <w:pPr>
        <w:snapToGrid w:val="0"/>
        <w:spacing w:line="360" w:lineRule="auto"/>
        <w:rPr>
          <w:rFonts w:hint="eastAsia" w:ascii="宋体" w:hAnsi="宋体" w:eastAsia="宋体" w:cs="宋体"/>
          <w:color w:val="auto"/>
          <w:sz w:val="32"/>
          <w:szCs w:val="32"/>
        </w:rPr>
      </w:pPr>
    </w:p>
    <w:p w14:paraId="238AF75E">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26060BC5">
      <w:pPr>
        <w:snapToGrid w:val="0"/>
        <w:spacing w:line="360" w:lineRule="auto"/>
        <w:jc w:val="both"/>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8" w:name="_Toc4512"/>
      <w:r>
        <w:rPr>
          <w:rFonts w:hint="eastAsia" w:ascii="宋体" w:hAnsi="宋体" w:eastAsia="宋体" w:cs="宋体"/>
          <w:lang w:val="en-US" w:eastAsia="zh-CN"/>
        </w:rPr>
        <w:t>第一节  供应商基本情况表</w:t>
      </w:r>
      <w:bookmarkEnd w:id="8"/>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3"/>
        <w:bidi w:val="0"/>
        <w:jc w:val="center"/>
        <w:rPr>
          <w:rFonts w:hint="eastAsia" w:ascii="宋体" w:hAnsi="宋体" w:eastAsia="宋体" w:cs="宋体"/>
          <w:b/>
          <w:color w:val="auto"/>
          <w:sz w:val="24"/>
        </w:rPr>
      </w:pPr>
      <w:bookmarkStart w:id="9" w:name="_Toc30548"/>
      <w:r>
        <w:rPr>
          <w:rFonts w:hint="eastAsia" w:ascii="宋体" w:hAnsi="宋体" w:eastAsia="宋体" w:cs="宋体"/>
          <w:lang w:val="en-US" w:eastAsia="zh-CN"/>
        </w:rPr>
        <w:t>第二节  供应商响应性承诺书</w:t>
      </w:r>
      <w:bookmarkEnd w:id="9"/>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10"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10"/>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11" w:name="_Toc16064"/>
      <w:r>
        <w:rPr>
          <w:rFonts w:hint="eastAsia" w:ascii="宋体" w:hAnsi="宋体" w:eastAsia="宋体" w:cs="宋体"/>
          <w:sz w:val="32"/>
          <w:szCs w:val="32"/>
          <w:lang w:val="en-US" w:eastAsia="zh-CN"/>
        </w:rPr>
        <w:t>第四节  服务承诺书</w:t>
      </w:r>
      <w:bookmarkEnd w:id="11"/>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12" w:name="_Toc14922"/>
      <w:r>
        <w:rPr>
          <w:rFonts w:hint="eastAsia" w:ascii="宋体" w:hAnsi="宋体" w:eastAsia="宋体" w:cs="宋体"/>
          <w:sz w:val="32"/>
          <w:szCs w:val="32"/>
          <w:lang w:val="en-US" w:eastAsia="zh-CN"/>
        </w:rPr>
        <w:t>第五节  供应商参加本项目无围标串标行为的承诺函</w:t>
      </w:r>
      <w:bookmarkEnd w:id="12"/>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13" w:name="_Toc6668"/>
      <w:r>
        <w:rPr>
          <w:rFonts w:hint="eastAsia" w:ascii="宋体" w:hAnsi="宋体" w:eastAsia="宋体" w:cs="宋体"/>
          <w:sz w:val="32"/>
          <w:szCs w:val="32"/>
          <w:lang w:val="en-US" w:eastAsia="zh-CN"/>
        </w:rPr>
        <w:t>第六节  类似成功案例业绩一览表</w:t>
      </w:r>
      <w:bookmarkEnd w:id="13"/>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14" w:name="_Toc14295"/>
      <w:r>
        <w:rPr>
          <w:rFonts w:hint="eastAsia" w:ascii="宋体" w:hAnsi="宋体" w:eastAsia="宋体" w:cs="宋体"/>
          <w:sz w:val="32"/>
          <w:szCs w:val="32"/>
          <w:lang w:val="en-US" w:eastAsia="zh-CN"/>
        </w:rPr>
        <w:t>第七节  售后服务方案</w:t>
      </w:r>
      <w:bookmarkEnd w:id="14"/>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15" w:name="_Toc19121"/>
      <w:bookmarkStart w:id="16" w:name="_Toc10739"/>
      <w:r>
        <w:rPr>
          <w:rFonts w:hint="eastAsia" w:ascii="宋体" w:hAnsi="宋体" w:eastAsia="宋体" w:cs="宋体"/>
          <w:sz w:val="32"/>
          <w:szCs w:val="32"/>
          <w:lang w:val="en-US" w:eastAsia="zh-CN"/>
        </w:rPr>
        <w:t>第八节  报价表</w:t>
      </w:r>
    </w:p>
    <w:p w14:paraId="5D9096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rPr>
      </w:pPr>
      <w:r>
        <w:rPr>
          <w:rStyle w:val="56"/>
          <w:rFonts w:hint="default" w:ascii="宋体" w:hAnsi="宋体" w:eastAsia="宋体" w:cs="宋体"/>
          <w:i w:val="0"/>
          <w:iCs w:val="0"/>
          <w:caps w:val="0"/>
          <w:color w:val="404040"/>
          <w:spacing w:val="0"/>
          <w:sz w:val="36"/>
          <w:szCs w:val="36"/>
          <w:shd w:val="clear" w:fill="FFFFFF"/>
          <w:lang w:val="en-US"/>
        </w:rPr>
        <w:t>融水苗族自治县人民医院审计服务项目报价表</w:t>
      </w:r>
    </w:p>
    <w:p w14:paraId="26ACFB66">
      <w:pPr>
        <w:jc w:val="center"/>
        <w:rPr>
          <w:rFonts w:hint="default"/>
          <w:b/>
          <w:bCs/>
          <w:sz w:val="32"/>
          <w:szCs w:val="40"/>
          <w:lang w:val="en-US"/>
        </w:rPr>
      </w:pPr>
    </w:p>
    <w:p w14:paraId="7256AA03">
      <w:pPr>
        <w:ind w:firstLine="480" w:firstLineChars="200"/>
        <w:rPr>
          <w:rFonts w:hint="default"/>
          <w:sz w:val="24"/>
          <w:szCs w:val="32"/>
          <w:lang w:val="en-US"/>
        </w:rPr>
      </w:pPr>
      <w:r>
        <w:rPr>
          <w:rFonts w:hint="eastAsia"/>
          <w:sz w:val="24"/>
          <w:szCs w:val="32"/>
          <w:lang w:val="en-US" w:eastAsia="zh-CN"/>
        </w:rPr>
        <w:t>询价</w:t>
      </w:r>
      <w:r>
        <w:rPr>
          <w:rFonts w:hint="default"/>
          <w:sz w:val="24"/>
          <w:szCs w:val="32"/>
          <w:lang w:val="en-US"/>
        </w:rPr>
        <w:t>单位：</w:t>
      </w:r>
      <w:r>
        <w:rPr>
          <w:rFonts w:hint="eastAsia"/>
          <w:sz w:val="24"/>
          <w:szCs w:val="32"/>
          <w:lang w:val="en-US" w:eastAsia="zh-CN"/>
        </w:rPr>
        <w:t>融水苗族自治县人民医院</w:t>
      </w:r>
      <w:r>
        <w:rPr>
          <w:rFonts w:hint="default"/>
          <w:sz w:val="24"/>
          <w:szCs w:val="32"/>
          <w:lang w:val="en-US"/>
        </w:rPr>
        <w:t xml:space="preserve">     </w:t>
      </w:r>
      <w:r>
        <w:rPr>
          <w:rFonts w:hint="eastAsia"/>
          <w:sz w:val="24"/>
          <w:szCs w:val="32"/>
          <w:lang w:val="en-US" w:eastAsia="zh-CN"/>
        </w:rPr>
        <w:t>项目名称</w:t>
      </w:r>
      <w:r>
        <w:rPr>
          <w:rFonts w:hint="default"/>
          <w:sz w:val="24"/>
          <w:szCs w:val="32"/>
          <w:lang w:val="en-US"/>
        </w:rPr>
        <w:t>：</w:t>
      </w:r>
    </w:p>
    <w:p w14:paraId="52CBB434">
      <w:pPr>
        <w:rPr>
          <w:rFonts w:hint="default"/>
          <w:sz w:val="24"/>
          <w:szCs w:val="32"/>
          <w:lang w:val="en-US"/>
        </w:rPr>
      </w:pPr>
    </w:p>
    <w:p w14:paraId="3C7307AE">
      <w:pPr>
        <w:ind w:firstLine="480" w:firstLineChars="200"/>
        <w:rPr>
          <w:rFonts w:hint="default"/>
          <w:sz w:val="24"/>
          <w:szCs w:val="32"/>
          <w:lang w:val="en-US"/>
        </w:rPr>
      </w:pPr>
      <w:r>
        <w:rPr>
          <w:rFonts w:hint="default"/>
          <w:sz w:val="24"/>
          <w:szCs w:val="32"/>
          <w:lang w:val="en-US"/>
        </w:rPr>
        <w:t>报价单位：                           联系电话：</w:t>
      </w:r>
    </w:p>
    <w:tbl>
      <w:tblPr>
        <w:tblStyle w:val="54"/>
        <w:tblpPr w:leftFromText="180" w:rightFromText="180" w:vertAnchor="text" w:horzAnchor="page" w:tblpX="1355" w:tblpY="22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1001"/>
        <w:gridCol w:w="4697"/>
        <w:gridCol w:w="671"/>
        <w:gridCol w:w="1008"/>
        <w:gridCol w:w="884"/>
        <w:gridCol w:w="868"/>
      </w:tblGrid>
      <w:tr w14:paraId="1352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496" w:type="dxa"/>
          </w:tcPr>
          <w:p w14:paraId="468C51AC">
            <w:pPr>
              <w:rPr>
                <w:rFonts w:hint="eastAsia" w:ascii="宋体" w:hAnsi="宋体" w:eastAsia="宋体" w:cs="宋体"/>
                <w:b/>
                <w:bCs/>
                <w:sz w:val="21"/>
                <w:szCs w:val="24"/>
                <w:lang w:val="en-US" w:eastAsia="zh-CN"/>
              </w:rPr>
            </w:pPr>
          </w:p>
          <w:p w14:paraId="17E000A2">
            <w:pPr>
              <w:rPr>
                <w:rFonts w:hint="eastAsia" w:ascii="宋体" w:hAnsi="宋体" w:eastAsia="宋体" w:cs="宋体"/>
                <w:b/>
                <w:bCs/>
                <w:sz w:val="21"/>
                <w:szCs w:val="24"/>
                <w:lang w:val="en-US" w:eastAsia="zh-CN"/>
              </w:rPr>
            </w:pPr>
            <w:r>
              <w:rPr>
                <w:rFonts w:hint="eastAsia" w:ascii="宋体" w:hAnsi="宋体" w:eastAsia="宋体" w:cs="宋体"/>
                <w:b/>
                <w:bCs/>
                <w:sz w:val="21"/>
                <w:szCs w:val="24"/>
                <w:lang w:val="en-US" w:eastAsia="zh-CN"/>
              </w:rPr>
              <w:t>序号</w:t>
            </w:r>
          </w:p>
          <w:p w14:paraId="537AB927">
            <w:pPr>
              <w:rPr>
                <w:rFonts w:hint="eastAsia" w:ascii="宋体" w:hAnsi="宋体" w:eastAsia="宋体" w:cs="宋体"/>
                <w:b/>
                <w:bCs/>
                <w:sz w:val="21"/>
                <w:szCs w:val="24"/>
              </w:rPr>
            </w:pPr>
          </w:p>
        </w:tc>
        <w:tc>
          <w:tcPr>
            <w:tcW w:w="1001" w:type="dxa"/>
          </w:tcPr>
          <w:p w14:paraId="377BE9C2">
            <w:pPr>
              <w:rPr>
                <w:rFonts w:ascii="宋体" w:hAnsi="宋体" w:eastAsia="宋体" w:cs="宋体"/>
                <w:b/>
                <w:bCs/>
                <w:kern w:val="0"/>
                <w:sz w:val="24"/>
                <w:szCs w:val="24"/>
              </w:rPr>
            </w:pPr>
          </w:p>
          <w:p w14:paraId="594FB2D5">
            <w:pPr>
              <w:rPr>
                <w:rFonts w:hint="eastAsia" w:ascii="宋体" w:hAnsi="宋体" w:eastAsia="宋体" w:cs="宋体"/>
                <w:b/>
                <w:bCs/>
                <w:sz w:val="21"/>
                <w:szCs w:val="24"/>
              </w:rPr>
            </w:pPr>
            <w:r>
              <w:rPr>
                <w:rFonts w:ascii="宋体" w:hAnsi="宋体" w:eastAsia="宋体" w:cs="宋体"/>
                <w:b/>
                <w:bCs/>
                <w:kern w:val="0"/>
                <w:sz w:val="24"/>
                <w:szCs w:val="24"/>
              </w:rPr>
              <w:t>分包名称</w:t>
            </w:r>
          </w:p>
        </w:tc>
        <w:tc>
          <w:tcPr>
            <w:tcW w:w="4697" w:type="dxa"/>
          </w:tcPr>
          <w:p w14:paraId="73A1EBA2">
            <w:pPr>
              <w:rPr>
                <w:rFonts w:hint="eastAsia" w:ascii="宋体" w:hAnsi="宋体" w:eastAsia="宋体" w:cs="宋体"/>
                <w:b/>
                <w:bCs/>
                <w:sz w:val="21"/>
                <w:szCs w:val="24"/>
              </w:rPr>
            </w:pPr>
          </w:p>
          <w:p w14:paraId="0308F613">
            <w:pPr>
              <w:jc w:val="center"/>
              <w:rPr>
                <w:rFonts w:hint="eastAsia" w:ascii="宋体" w:hAnsi="宋体" w:eastAsia="宋体" w:cs="宋体"/>
                <w:b/>
                <w:bCs/>
                <w:sz w:val="21"/>
                <w:szCs w:val="24"/>
              </w:rPr>
            </w:pPr>
            <w:r>
              <w:rPr>
                <w:rFonts w:ascii="宋体" w:hAnsi="宋体" w:eastAsia="宋体" w:cs="宋体"/>
                <w:b/>
                <w:bCs/>
                <w:kern w:val="0"/>
                <w:sz w:val="24"/>
                <w:szCs w:val="24"/>
              </w:rPr>
              <w:t>服务内容</w:t>
            </w:r>
          </w:p>
        </w:tc>
        <w:tc>
          <w:tcPr>
            <w:tcW w:w="671" w:type="dxa"/>
          </w:tcPr>
          <w:p w14:paraId="1DEEE4D7">
            <w:pPr>
              <w:rPr>
                <w:rFonts w:hint="eastAsia" w:ascii="宋体" w:hAnsi="宋体" w:eastAsia="宋体" w:cs="宋体"/>
                <w:b/>
                <w:bCs/>
                <w:sz w:val="21"/>
                <w:szCs w:val="24"/>
              </w:rPr>
            </w:pPr>
          </w:p>
          <w:p w14:paraId="5B4E9826">
            <w:pPr>
              <w:rPr>
                <w:rFonts w:hint="eastAsia" w:ascii="宋体" w:hAnsi="宋体" w:eastAsia="宋体" w:cs="宋体"/>
                <w:b/>
                <w:bCs/>
                <w:sz w:val="21"/>
                <w:szCs w:val="24"/>
              </w:rPr>
            </w:pPr>
            <w:r>
              <w:rPr>
                <w:rFonts w:hint="eastAsia" w:ascii="宋体" w:hAnsi="宋体" w:eastAsia="宋体" w:cs="宋体"/>
                <w:b/>
                <w:bCs/>
                <w:sz w:val="21"/>
                <w:szCs w:val="24"/>
              </w:rPr>
              <w:t>数量</w:t>
            </w:r>
          </w:p>
        </w:tc>
        <w:tc>
          <w:tcPr>
            <w:tcW w:w="1008" w:type="dxa"/>
          </w:tcPr>
          <w:p w14:paraId="0B04AF08">
            <w:pPr>
              <w:rPr>
                <w:rFonts w:hint="eastAsia" w:ascii="宋体" w:hAnsi="宋体" w:eastAsia="宋体" w:cs="宋体"/>
                <w:b/>
                <w:bCs/>
                <w:sz w:val="21"/>
                <w:szCs w:val="24"/>
              </w:rPr>
            </w:pPr>
          </w:p>
          <w:p w14:paraId="1C9233C2">
            <w:pPr>
              <w:rPr>
                <w:rFonts w:hint="eastAsia" w:ascii="宋体" w:hAnsi="宋体" w:eastAsia="宋体" w:cs="宋体"/>
                <w:b/>
                <w:bCs/>
                <w:sz w:val="21"/>
                <w:szCs w:val="24"/>
              </w:rPr>
            </w:pPr>
            <w:r>
              <w:rPr>
                <w:rFonts w:ascii="宋体" w:hAnsi="宋体" w:eastAsia="宋体" w:cs="宋体"/>
                <w:b/>
                <w:bCs/>
                <w:kern w:val="0"/>
                <w:sz w:val="24"/>
                <w:szCs w:val="24"/>
              </w:rPr>
              <w:t>年度</w:t>
            </w:r>
            <w:r>
              <w:rPr>
                <w:rFonts w:hint="eastAsia" w:ascii="宋体" w:hAnsi="宋体" w:eastAsia="宋体" w:cs="宋体"/>
                <w:b/>
                <w:bCs/>
                <w:kern w:val="0"/>
                <w:sz w:val="24"/>
                <w:szCs w:val="24"/>
                <w:lang w:val="en-US" w:eastAsia="zh-CN"/>
              </w:rPr>
              <w:t>报价</w:t>
            </w:r>
            <w:r>
              <w:rPr>
                <w:rFonts w:ascii="宋体" w:hAnsi="宋体" w:eastAsia="宋体" w:cs="宋体"/>
                <w:b/>
                <w:bCs/>
                <w:kern w:val="0"/>
                <w:sz w:val="24"/>
                <w:szCs w:val="24"/>
              </w:rPr>
              <w:t>（人民币）</w:t>
            </w:r>
          </w:p>
        </w:tc>
        <w:tc>
          <w:tcPr>
            <w:tcW w:w="884" w:type="dxa"/>
          </w:tcPr>
          <w:p w14:paraId="279E1693">
            <w:pPr>
              <w:rPr>
                <w:rFonts w:hint="eastAsia" w:ascii="宋体" w:hAnsi="宋体" w:eastAsia="宋体" w:cs="宋体"/>
                <w:b/>
                <w:bCs/>
                <w:sz w:val="21"/>
                <w:szCs w:val="24"/>
              </w:rPr>
            </w:pPr>
          </w:p>
          <w:p w14:paraId="6A12838E">
            <w:pPr>
              <w:rPr>
                <w:rFonts w:hint="eastAsia" w:ascii="宋体" w:hAnsi="宋体" w:eastAsia="宋体" w:cs="宋体"/>
                <w:b/>
                <w:bCs/>
                <w:sz w:val="21"/>
                <w:szCs w:val="24"/>
              </w:rPr>
            </w:pPr>
            <w:r>
              <w:rPr>
                <w:rFonts w:ascii="宋体" w:hAnsi="宋体" w:eastAsia="宋体" w:cs="宋体"/>
                <w:b/>
                <w:bCs/>
                <w:kern w:val="0"/>
                <w:sz w:val="24"/>
                <w:szCs w:val="24"/>
              </w:rPr>
              <w:t>合同</w:t>
            </w:r>
            <w:r>
              <w:rPr>
                <w:rFonts w:hint="eastAsia" w:ascii="宋体" w:hAnsi="宋体" w:eastAsia="宋体" w:cs="宋体"/>
                <w:b/>
                <w:bCs/>
                <w:kern w:val="0"/>
                <w:sz w:val="24"/>
                <w:szCs w:val="24"/>
                <w:lang w:val="en-US" w:eastAsia="zh-CN"/>
              </w:rPr>
              <w:t>其三年</w:t>
            </w:r>
            <w:r>
              <w:rPr>
                <w:rFonts w:ascii="宋体" w:hAnsi="宋体" w:eastAsia="宋体" w:cs="宋体"/>
                <w:b/>
                <w:bCs/>
                <w:kern w:val="0"/>
                <w:sz w:val="24"/>
                <w:szCs w:val="24"/>
              </w:rPr>
              <w:t>价（人民币）</w:t>
            </w:r>
          </w:p>
        </w:tc>
        <w:tc>
          <w:tcPr>
            <w:tcW w:w="868" w:type="dxa"/>
          </w:tcPr>
          <w:p w14:paraId="53A301A9">
            <w:pPr>
              <w:rPr>
                <w:rFonts w:hint="eastAsia" w:ascii="宋体" w:hAnsi="宋体" w:eastAsia="宋体" w:cs="宋体"/>
                <w:b/>
                <w:bCs/>
                <w:sz w:val="21"/>
                <w:szCs w:val="24"/>
              </w:rPr>
            </w:pPr>
          </w:p>
          <w:p w14:paraId="5B9ECA0B">
            <w:pPr>
              <w:rPr>
                <w:rFonts w:hint="eastAsia" w:ascii="宋体" w:hAnsi="宋体" w:eastAsia="宋体" w:cs="宋体"/>
                <w:b/>
                <w:bCs/>
                <w:sz w:val="21"/>
                <w:szCs w:val="24"/>
              </w:rPr>
            </w:pPr>
            <w:r>
              <w:rPr>
                <w:rFonts w:hint="eastAsia" w:ascii="宋体" w:hAnsi="宋体" w:eastAsia="宋体" w:cs="宋体"/>
                <w:b/>
                <w:bCs/>
                <w:sz w:val="21"/>
                <w:szCs w:val="24"/>
              </w:rPr>
              <w:t>备注</w:t>
            </w:r>
          </w:p>
        </w:tc>
      </w:tr>
      <w:tr w14:paraId="7B80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0" w:hRule="atLeast"/>
        </w:trPr>
        <w:tc>
          <w:tcPr>
            <w:tcW w:w="496" w:type="dxa"/>
          </w:tcPr>
          <w:p w14:paraId="0F53D6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lang w:val="en-US" w:eastAsia="zh-CN"/>
              </w:rPr>
            </w:pPr>
          </w:p>
          <w:p w14:paraId="249DFF5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lang w:val="en-US" w:eastAsia="zh-CN"/>
              </w:rPr>
            </w:pPr>
          </w:p>
          <w:p w14:paraId="5F2DA6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lang w:val="en-US" w:eastAsia="zh-CN"/>
              </w:rPr>
            </w:pPr>
          </w:p>
          <w:p w14:paraId="392969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lang w:val="en-US" w:eastAsia="zh-CN"/>
              </w:rPr>
            </w:pPr>
            <w:r>
              <w:rPr>
                <w:rFonts w:hint="eastAsia" w:ascii="宋体" w:hAnsi="宋体" w:eastAsia="宋体" w:cs="宋体"/>
                <w:sz w:val="21"/>
                <w:szCs w:val="24"/>
                <w:lang w:val="en-US" w:eastAsia="zh-CN"/>
              </w:rPr>
              <w:t>1</w:t>
            </w:r>
          </w:p>
        </w:tc>
        <w:tc>
          <w:tcPr>
            <w:tcW w:w="1001" w:type="dxa"/>
          </w:tcPr>
          <w:p w14:paraId="62533F1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lang w:val="en-US" w:eastAsia="zh-CN"/>
              </w:rPr>
            </w:pPr>
            <w:r>
              <w:rPr>
                <w:rFonts w:ascii="宋体" w:hAnsi="宋体" w:eastAsia="宋体" w:cs="宋体"/>
                <w:kern w:val="0"/>
                <w:sz w:val="24"/>
                <w:szCs w:val="24"/>
              </w:rPr>
              <w:t>分包一：年度财务报告审计</w:t>
            </w:r>
          </w:p>
        </w:tc>
        <w:tc>
          <w:tcPr>
            <w:tcW w:w="4697" w:type="dxa"/>
          </w:tcPr>
          <w:p w14:paraId="0872CE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4"/>
              </w:rPr>
            </w:pPr>
            <w:r>
              <w:rPr>
                <w:rFonts w:hint="eastAsia" w:ascii="宋体" w:hAnsi="宋体" w:eastAsia="宋体" w:cs="宋体"/>
                <w:kern w:val="0"/>
                <w:sz w:val="21"/>
                <w:szCs w:val="21"/>
              </w:rPr>
              <w:t>按照相关法律法规及会计准则要求，对融水苗族自治县人民医院年度的财务报表进行独立审计，确保数据的真实性、完整性和准确性，并出具审计报告。</w:t>
            </w:r>
          </w:p>
        </w:tc>
        <w:tc>
          <w:tcPr>
            <w:tcW w:w="671" w:type="dxa"/>
          </w:tcPr>
          <w:p w14:paraId="085285F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rPr>
            </w:pPr>
          </w:p>
          <w:p w14:paraId="38E0784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rPr>
            </w:pPr>
          </w:p>
          <w:p w14:paraId="79DC7BC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rPr>
            </w:pPr>
          </w:p>
          <w:p w14:paraId="07F580F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rPr>
            </w:pPr>
            <w:r>
              <w:rPr>
                <w:rFonts w:hint="eastAsia" w:ascii="宋体" w:hAnsi="宋体" w:eastAsia="宋体" w:cs="宋体"/>
                <w:sz w:val="21"/>
                <w:szCs w:val="24"/>
              </w:rPr>
              <w:t>1</w:t>
            </w:r>
          </w:p>
        </w:tc>
        <w:tc>
          <w:tcPr>
            <w:tcW w:w="1008" w:type="dxa"/>
          </w:tcPr>
          <w:p w14:paraId="071275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p>
        </w:tc>
        <w:tc>
          <w:tcPr>
            <w:tcW w:w="884" w:type="dxa"/>
          </w:tcPr>
          <w:p w14:paraId="730ED2B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p>
        </w:tc>
        <w:tc>
          <w:tcPr>
            <w:tcW w:w="868" w:type="dxa"/>
            <w:vMerge w:val="restart"/>
          </w:tcPr>
          <w:p w14:paraId="090759D3">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eastAsia" w:ascii="宋体" w:hAnsi="宋体" w:cs="宋体"/>
                <w:sz w:val="21"/>
                <w:szCs w:val="24"/>
                <w:lang w:eastAsia="zh-CN"/>
              </w:rPr>
            </w:pPr>
            <w:r>
              <w:rPr>
                <w:rFonts w:hint="eastAsia" w:ascii="宋体" w:hAnsi="宋体" w:eastAsia="宋体" w:cs="宋体"/>
                <w:sz w:val="21"/>
                <w:szCs w:val="24"/>
              </w:rPr>
              <w:t>报价为含税、包含差旅费、银行账户函证等相关费用</w:t>
            </w:r>
            <w:r>
              <w:rPr>
                <w:rFonts w:hint="eastAsia" w:ascii="宋体" w:hAnsi="宋体" w:cs="宋体"/>
                <w:sz w:val="21"/>
                <w:szCs w:val="24"/>
                <w:lang w:eastAsia="zh-CN"/>
              </w:rPr>
              <w:t>。</w:t>
            </w:r>
          </w:p>
          <w:p w14:paraId="0F748C25">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lang w:val="en-US" w:eastAsia="zh-CN"/>
              </w:rPr>
            </w:pPr>
            <w:r>
              <w:rPr>
                <w:rFonts w:ascii="宋体" w:hAnsi="宋体" w:eastAsia="宋体" w:cs="宋体"/>
                <w:kern w:val="0"/>
                <w:sz w:val="24"/>
                <w:szCs w:val="24"/>
              </w:rPr>
              <w:t>2. 供应商可就单个或多个分包进行响应。</w:t>
            </w:r>
          </w:p>
        </w:tc>
      </w:tr>
      <w:tr w14:paraId="6093B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0" w:hRule="atLeast"/>
        </w:trPr>
        <w:tc>
          <w:tcPr>
            <w:tcW w:w="496" w:type="dxa"/>
          </w:tcPr>
          <w:p w14:paraId="419787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160F5B4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5B6A578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2EBF779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1"/>
                <w:szCs w:val="24"/>
                <w:lang w:val="en-US" w:eastAsia="zh-CN"/>
              </w:rPr>
            </w:pPr>
            <w:r>
              <w:rPr>
                <w:rFonts w:hint="eastAsia" w:ascii="宋体" w:hAnsi="宋体" w:cs="宋体"/>
                <w:sz w:val="21"/>
                <w:szCs w:val="24"/>
                <w:lang w:val="en-US" w:eastAsia="zh-CN"/>
              </w:rPr>
              <w:t>2</w:t>
            </w:r>
          </w:p>
        </w:tc>
        <w:tc>
          <w:tcPr>
            <w:tcW w:w="1001" w:type="dxa"/>
          </w:tcPr>
          <w:p w14:paraId="1AFD9F8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lang w:val="en-US" w:eastAsia="zh-CN"/>
              </w:rPr>
            </w:pPr>
            <w:r>
              <w:rPr>
                <w:rFonts w:ascii="宋体" w:hAnsi="宋体" w:eastAsia="宋体" w:cs="宋体"/>
                <w:kern w:val="0"/>
                <w:sz w:val="24"/>
                <w:szCs w:val="24"/>
              </w:rPr>
              <w:t>分包二：全面内部控制评价及全面风险评估</w:t>
            </w:r>
          </w:p>
        </w:tc>
        <w:tc>
          <w:tcPr>
            <w:tcW w:w="4697" w:type="dxa"/>
          </w:tcPr>
          <w:p w14:paraId="3314D426">
            <w:pPr>
              <w:widowControl/>
              <w:jc w:val="left"/>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根据</w:t>
            </w:r>
            <w:r>
              <w:rPr>
                <w:rFonts w:hint="eastAsia" w:ascii="宋体" w:hAnsi="宋体" w:eastAsia="宋体" w:cs="宋体"/>
                <w:kern w:val="0"/>
                <w:sz w:val="21"/>
                <w:szCs w:val="21"/>
              </w:rPr>
              <w:t>桂财会〔2026〕3 号广西壮族自治区财政厅转发财政部关于印发</w:t>
            </w:r>
          </w:p>
          <w:p w14:paraId="2FF015E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4"/>
              </w:rPr>
            </w:pPr>
            <w:r>
              <w:rPr>
                <w:rFonts w:hint="eastAsia" w:ascii="宋体" w:hAnsi="宋体" w:eastAsia="宋体" w:cs="宋体"/>
                <w:kern w:val="0"/>
                <w:sz w:val="21"/>
                <w:szCs w:val="21"/>
              </w:rPr>
              <w:t>《行政事业单位内部控制评价办法》的通知对医院预算管理、收支管理、采购管理、资产管理、科研经费管理、合同管理等核心业务流程进行内控评价。识别内控缺陷并提出整改建议；形成《内部控制评价报告》，明确风险等级及改进措施；提供内控流程优化方案。 结合医疗行业特点和我院实际情况，识别医院运营中面临的各类风险（包括但不限于财务风险、运营风险、合规风险等），评估风险发生的可能性和影响程度，制定风险</w:t>
            </w:r>
          </w:p>
        </w:tc>
        <w:tc>
          <w:tcPr>
            <w:tcW w:w="671" w:type="dxa"/>
          </w:tcPr>
          <w:p w14:paraId="57F2333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5B64743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130F92C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56DD6E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5D62343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lang w:val="en-US" w:eastAsia="zh-CN"/>
              </w:rPr>
            </w:pPr>
            <w:r>
              <w:rPr>
                <w:rFonts w:hint="eastAsia" w:ascii="宋体" w:hAnsi="宋体" w:cs="宋体"/>
                <w:sz w:val="21"/>
                <w:szCs w:val="24"/>
                <w:lang w:val="en-US" w:eastAsia="zh-CN"/>
              </w:rPr>
              <w:t>1</w:t>
            </w:r>
          </w:p>
        </w:tc>
        <w:tc>
          <w:tcPr>
            <w:tcW w:w="1008" w:type="dxa"/>
          </w:tcPr>
          <w:p w14:paraId="2B7CD13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p>
        </w:tc>
        <w:tc>
          <w:tcPr>
            <w:tcW w:w="884" w:type="dxa"/>
          </w:tcPr>
          <w:p w14:paraId="726601E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p>
        </w:tc>
        <w:tc>
          <w:tcPr>
            <w:tcW w:w="868" w:type="dxa"/>
            <w:vMerge w:val="continue"/>
          </w:tcPr>
          <w:p w14:paraId="1C498BB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p>
        </w:tc>
      </w:tr>
      <w:tr w14:paraId="2B35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trPr>
        <w:tc>
          <w:tcPr>
            <w:tcW w:w="6194" w:type="dxa"/>
            <w:gridSpan w:val="3"/>
          </w:tcPr>
          <w:p w14:paraId="02E13AC0">
            <w:pPr>
              <w:spacing w:line="360" w:lineRule="auto"/>
              <w:rPr>
                <w:rFonts w:hint="eastAsia" w:ascii="宋体" w:hAnsi="宋体" w:eastAsia="宋体" w:cs="宋体"/>
                <w:sz w:val="21"/>
                <w:szCs w:val="24"/>
              </w:rPr>
            </w:pPr>
          </w:p>
          <w:p w14:paraId="2DF51370">
            <w:pPr>
              <w:spacing w:line="360" w:lineRule="auto"/>
              <w:rPr>
                <w:rFonts w:hint="eastAsia" w:ascii="宋体" w:hAnsi="宋体" w:eastAsia="宋体" w:cs="宋体"/>
                <w:sz w:val="21"/>
                <w:szCs w:val="24"/>
              </w:rPr>
            </w:pPr>
            <w:r>
              <w:rPr>
                <w:rFonts w:hint="eastAsia" w:ascii="宋体" w:hAnsi="宋体" w:eastAsia="宋体" w:cs="宋体"/>
                <w:sz w:val="21"/>
                <w:szCs w:val="24"/>
              </w:rPr>
              <w:t>总报价</w:t>
            </w:r>
            <w:r>
              <w:rPr>
                <w:rFonts w:hint="eastAsia" w:ascii="宋体" w:hAnsi="宋体" w:cs="宋体"/>
                <w:sz w:val="21"/>
                <w:szCs w:val="24"/>
                <w:lang w:eastAsia="zh-CN"/>
              </w:rPr>
              <w:t>：</w:t>
            </w:r>
            <w:r>
              <w:rPr>
                <w:rFonts w:hint="eastAsia" w:ascii="宋体" w:hAnsi="宋体" w:cs="宋体"/>
                <w:sz w:val="21"/>
                <w:szCs w:val="24"/>
                <w:lang w:val="en-US" w:eastAsia="zh-CN"/>
              </w:rPr>
              <w:t>1+2</w:t>
            </w:r>
            <w:r>
              <w:rPr>
                <w:rFonts w:hint="eastAsia" w:ascii="宋体" w:hAnsi="宋体" w:eastAsia="宋体" w:cs="宋体"/>
                <w:sz w:val="21"/>
                <w:szCs w:val="24"/>
              </w:rPr>
              <w:t>（备注：报价为含税、包含差旅费、银行账户函证等相关费用）</w:t>
            </w:r>
          </w:p>
        </w:tc>
        <w:tc>
          <w:tcPr>
            <w:tcW w:w="3431" w:type="dxa"/>
            <w:gridSpan w:val="4"/>
          </w:tcPr>
          <w:p w14:paraId="6A5EC91E">
            <w:pPr>
              <w:spacing w:line="480" w:lineRule="auto"/>
              <w:rPr>
                <w:rFonts w:hint="eastAsia" w:ascii="宋体" w:hAnsi="宋体" w:eastAsia="宋体" w:cs="宋体"/>
                <w:sz w:val="21"/>
                <w:szCs w:val="24"/>
                <w:lang w:val="en-US" w:eastAsia="zh-CN"/>
              </w:rPr>
            </w:pPr>
            <w:r>
              <w:rPr>
                <w:rFonts w:hint="eastAsia" w:ascii="宋体" w:hAnsi="宋体" w:eastAsia="宋体" w:cs="宋体"/>
                <w:sz w:val="21"/>
                <w:szCs w:val="24"/>
                <w:lang w:val="en-US" w:eastAsia="zh-CN"/>
              </w:rPr>
              <w:t xml:space="preserve">        </w:t>
            </w:r>
          </w:p>
        </w:tc>
      </w:tr>
    </w:tbl>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bookmarkStart w:id="18" w:name="_GoBack"/>
      <w:r>
        <w:rPr>
          <w:rFonts w:hint="eastAsia" w:ascii="宋体" w:hAnsi="宋体" w:eastAsia="宋体" w:cs="宋体"/>
          <w:sz w:val="32"/>
          <w:szCs w:val="32"/>
          <w:lang w:val="en-US" w:eastAsia="zh-CN"/>
        </w:rPr>
        <w:t>第四章  评审办法及评审标准</w:t>
      </w:r>
      <w:bookmarkEnd w:id="15"/>
      <w:bookmarkEnd w:id="16"/>
    </w:p>
    <w:bookmarkEnd w:id="18"/>
    <w:p w14:paraId="18B30BA4">
      <w:pPr>
        <w:snapToGrid w:val="0"/>
        <w:spacing w:line="360" w:lineRule="auto"/>
        <w:rPr>
          <w:rFonts w:hint="eastAsia" w:ascii="宋体" w:hAnsi="宋体" w:cs="宋体"/>
          <w:b/>
          <w:bCs/>
          <w:sz w:val="44"/>
          <w:szCs w:val="44"/>
          <w:highlight w:val="none"/>
          <w:lang w:val="en-US" w:eastAsia="zh-CN"/>
        </w:rPr>
      </w:pPr>
      <w:bookmarkStart w:id="17" w:name="_Toc24273"/>
      <w:r>
        <w:rPr>
          <w:rFonts w:hint="eastAsia" w:ascii="宋体" w:hAnsi="宋体" w:eastAsia="宋体" w:cs="宋体"/>
          <w:b/>
          <w:bCs/>
          <w:kern w:val="2"/>
          <w:sz w:val="44"/>
          <w:szCs w:val="44"/>
          <w:highlight w:val="none"/>
          <w:lang w:val="en-US" w:eastAsia="zh-CN" w:bidi="ar-SA"/>
        </w:rPr>
        <w:t>融水苗族自治县人民医院2025-2027年度审计（一年一审）服务采购项目</w:t>
      </w:r>
      <w:r>
        <w:rPr>
          <w:rFonts w:hint="eastAsia" w:ascii="宋体" w:hAnsi="宋体" w:eastAsia="宋体" w:cs="宋体"/>
          <w:b/>
          <w:bCs/>
          <w:sz w:val="44"/>
          <w:szCs w:val="44"/>
          <w:highlight w:val="none"/>
        </w:rPr>
        <w:t>综合</w:t>
      </w:r>
      <w:bookmarkEnd w:id="17"/>
      <w:r>
        <w:rPr>
          <w:rFonts w:hint="eastAsia" w:ascii="宋体" w:hAnsi="宋体" w:cs="宋体"/>
          <w:b/>
          <w:bCs/>
          <w:sz w:val="44"/>
          <w:szCs w:val="44"/>
          <w:highlight w:val="none"/>
          <w:lang w:val="en-US" w:eastAsia="zh-CN"/>
        </w:rPr>
        <w:t>评分表</w:t>
      </w:r>
    </w:p>
    <w:p w14:paraId="6C70AE38">
      <w:pPr>
        <w:pStyle w:val="14"/>
        <w:keepNext w:val="0"/>
        <w:keepLines w:val="0"/>
        <w:pageBreakBefore w:val="0"/>
        <w:widowControl w:val="0"/>
        <w:numPr>
          <w:ilvl w:val="0"/>
          <w:numId w:val="0"/>
        </w:numPr>
        <w:kinsoku/>
        <w:wordWrap/>
        <w:overflowPunct/>
        <w:topLinePunct w:val="0"/>
        <w:autoSpaceDE/>
        <w:autoSpaceDN/>
        <w:bidi w:val="0"/>
        <w:adjustRightInd/>
        <w:snapToGrid/>
        <w:spacing w:after="120" w:line="240" w:lineRule="exact"/>
        <w:ind w:leftChars="0"/>
        <w:jc w:val="both"/>
        <w:textAlignment w:val="auto"/>
        <w:rPr>
          <w:rFonts w:hint="eastAsia" w:ascii="宋体" w:hAnsi="宋体" w:cs="宋体"/>
          <w:b/>
          <w:bCs/>
          <w:sz w:val="44"/>
          <w:szCs w:val="44"/>
          <w:highlight w:val="none"/>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369"/>
        <w:gridCol w:w="1346"/>
        <w:gridCol w:w="1303"/>
      </w:tblGrid>
      <w:tr w14:paraId="22CE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449EC4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212" w:type="dxa"/>
            <w:noWrap w:val="0"/>
            <w:vAlign w:val="center"/>
          </w:tcPr>
          <w:p w14:paraId="15DE90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评分项目</w:t>
            </w:r>
          </w:p>
        </w:tc>
        <w:tc>
          <w:tcPr>
            <w:tcW w:w="5369" w:type="dxa"/>
            <w:noWrap w:val="0"/>
            <w:vAlign w:val="center"/>
          </w:tcPr>
          <w:p w14:paraId="035858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评分标准</w:t>
            </w:r>
          </w:p>
        </w:tc>
        <w:tc>
          <w:tcPr>
            <w:tcW w:w="1346" w:type="dxa"/>
            <w:noWrap w:val="0"/>
            <w:vAlign w:val="center"/>
          </w:tcPr>
          <w:p w14:paraId="25429B4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分值</w:t>
            </w:r>
          </w:p>
        </w:tc>
        <w:tc>
          <w:tcPr>
            <w:tcW w:w="1303" w:type="dxa"/>
            <w:noWrap w:val="0"/>
            <w:vAlign w:val="center"/>
          </w:tcPr>
          <w:p w14:paraId="5A821D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分数</w:t>
            </w:r>
          </w:p>
        </w:tc>
      </w:tr>
      <w:tr w14:paraId="6137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5" w:hRule="atLeast"/>
        </w:trPr>
        <w:tc>
          <w:tcPr>
            <w:tcW w:w="690" w:type="dxa"/>
            <w:noWrap w:val="0"/>
            <w:vAlign w:val="center"/>
          </w:tcPr>
          <w:p w14:paraId="73B2451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12" w:type="dxa"/>
            <w:noWrap w:val="0"/>
            <w:vAlign w:val="center"/>
          </w:tcPr>
          <w:p w14:paraId="2CCDC0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报价评分</w:t>
            </w:r>
          </w:p>
          <w:p w14:paraId="5C96E85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（满分10分）</w:t>
            </w:r>
          </w:p>
        </w:tc>
        <w:tc>
          <w:tcPr>
            <w:tcW w:w="5369" w:type="dxa"/>
            <w:noWrap w:val="0"/>
            <w:vAlign w:val="center"/>
          </w:tcPr>
          <w:p w14:paraId="284C3DF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 报价</w:t>
            </w:r>
            <w:r>
              <w:rPr>
                <w:rFonts w:hint="eastAsia" w:ascii="宋体" w:hAnsi="宋体" w:cs="宋体"/>
                <w:sz w:val="24"/>
                <w:szCs w:val="24"/>
                <w:lang w:val="en-US" w:eastAsia="zh-CN"/>
              </w:rPr>
              <w:t>：</w:t>
            </w:r>
            <w:r>
              <w:rPr>
                <w:rFonts w:hint="eastAsia" w:ascii="宋体" w:hAnsi="宋体" w:cs="宋体"/>
                <w:color w:val="000000" w:themeColor="text1"/>
                <w:sz w:val="24"/>
                <w:szCs w:val="24"/>
                <w:highlight w:val="none"/>
                <w:lang w:val="en-US" w:eastAsia="zh-CN"/>
                <w14:textFill>
                  <w14:solidFill>
                    <w14:schemeClr w14:val="tx1"/>
                  </w14:solidFill>
                </w14:textFill>
              </w:rPr>
              <w:t>分包一报价 ≤ 45,000.00元，分包二报价 ≤ 120,000.00元，超任一分包控制价直接废标。</w:t>
            </w:r>
            <w:r>
              <w:rPr>
                <w:rFonts w:hint="eastAsia" w:ascii="宋体" w:hAnsi="宋体" w:eastAsia="宋体" w:cs="宋体"/>
                <w:color w:val="000000" w:themeColor="text1"/>
                <w:sz w:val="24"/>
                <w:szCs w:val="24"/>
                <w:highlight w:val="yellow"/>
                <w:lang w:val="en-US" w:eastAsia="zh-CN"/>
                <w14:textFill>
                  <w14:solidFill>
                    <w14:schemeClr w14:val="tx1"/>
                  </w14:solidFill>
                </w14:textFill>
              </w:rPr>
              <w:br w:type="textWrapping"/>
            </w:r>
            <w:r>
              <w:rPr>
                <w:rFonts w:hint="eastAsia" w:ascii="宋体" w:hAnsi="宋体" w:eastAsia="宋体" w:cs="宋体"/>
                <w:sz w:val="24"/>
                <w:szCs w:val="24"/>
                <w:lang w:val="en-US" w:eastAsia="zh-CN"/>
              </w:rPr>
              <w:t>- 计算公式：得分=（最低有效报价/投标报价）×</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分</w:t>
            </w:r>
            <w:r>
              <w:rPr>
                <w:rFonts w:hint="eastAsia" w:ascii="宋体" w:hAnsi="宋体" w:cs="宋体"/>
                <w:sz w:val="24"/>
                <w:szCs w:val="24"/>
                <w:lang w:val="en-US" w:eastAsia="zh-CN"/>
              </w:rPr>
              <w:t>，每项分包满分5分。</w:t>
            </w:r>
          </w:p>
        </w:tc>
        <w:tc>
          <w:tcPr>
            <w:tcW w:w="1346" w:type="dxa"/>
            <w:noWrap w:val="0"/>
            <w:vAlign w:val="center"/>
          </w:tcPr>
          <w:p w14:paraId="40E1938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1</w:t>
            </w:r>
            <w:r>
              <w:rPr>
                <w:rFonts w:hint="eastAsia" w:ascii="宋体" w:hAnsi="宋体" w:eastAsia="宋体" w:cs="宋体"/>
                <w:sz w:val="24"/>
                <w:szCs w:val="24"/>
              </w:rPr>
              <w:t>0分（满分</w:t>
            </w:r>
            <w:r>
              <w:rPr>
                <w:rFonts w:hint="eastAsia" w:ascii="宋体" w:hAnsi="宋体" w:eastAsia="宋体" w:cs="宋体"/>
                <w:sz w:val="24"/>
                <w:szCs w:val="24"/>
                <w:lang w:val="en-US" w:eastAsia="zh-CN"/>
              </w:rPr>
              <w:t>1</w:t>
            </w:r>
            <w:r>
              <w:rPr>
                <w:rFonts w:hint="eastAsia" w:ascii="宋体" w:hAnsi="宋体" w:eastAsia="宋体" w:cs="宋体"/>
                <w:sz w:val="24"/>
                <w:szCs w:val="24"/>
              </w:rPr>
              <w:t>0分）</w:t>
            </w:r>
          </w:p>
        </w:tc>
        <w:tc>
          <w:tcPr>
            <w:tcW w:w="1303" w:type="dxa"/>
            <w:noWrap w:val="0"/>
            <w:vAlign w:val="center"/>
          </w:tcPr>
          <w:p w14:paraId="03E9C5A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1D5B5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5" w:hRule="atLeast"/>
        </w:trPr>
        <w:tc>
          <w:tcPr>
            <w:tcW w:w="690" w:type="dxa"/>
            <w:noWrap w:val="0"/>
            <w:vAlign w:val="center"/>
          </w:tcPr>
          <w:p w14:paraId="43A03BA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212" w:type="dxa"/>
            <w:noWrap w:val="0"/>
            <w:vAlign w:val="center"/>
          </w:tcPr>
          <w:p w14:paraId="467B5C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技术</w:t>
            </w:r>
            <w:r>
              <w:rPr>
                <w:rFonts w:hint="eastAsia" w:ascii="宋体" w:hAnsi="宋体" w:eastAsia="宋体" w:cs="宋体"/>
                <w:sz w:val="24"/>
                <w:szCs w:val="24"/>
                <w:lang w:val="en-US" w:eastAsia="zh-CN"/>
              </w:rPr>
              <w:t>部分</w:t>
            </w:r>
          </w:p>
        </w:tc>
        <w:tc>
          <w:tcPr>
            <w:tcW w:w="5369" w:type="dxa"/>
            <w:noWrap w:val="0"/>
            <w:vAlign w:val="center"/>
          </w:tcPr>
          <w:p w14:paraId="56C1471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B297F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技术分（满分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1303" w:type="dxa"/>
            <w:noWrap w:val="0"/>
            <w:vAlign w:val="center"/>
          </w:tcPr>
          <w:p w14:paraId="7E72308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7D70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0"/>
            <w:vAlign w:val="center"/>
          </w:tcPr>
          <w:p w14:paraId="2DF04B0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2.1</w:t>
            </w:r>
          </w:p>
        </w:tc>
        <w:tc>
          <w:tcPr>
            <w:tcW w:w="1212" w:type="dxa"/>
            <w:noWrap w:val="0"/>
            <w:vAlign w:val="center"/>
          </w:tcPr>
          <w:p w14:paraId="2E78A7C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服务方案</w:t>
            </w:r>
          </w:p>
        </w:tc>
        <w:tc>
          <w:tcPr>
            <w:tcW w:w="5369" w:type="dxa"/>
            <w:noWrap w:val="0"/>
            <w:vAlign w:val="top"/>
          </w:tcPr>
          <w:p w14:paraId="0FE5A64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医疗行业适配性（8分）：</w:t>
            </w:r>
          </w:p>
          <w:p w14:paraId="72B5A01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建立医疗行业特色风险评估模型</w:t>
            </w:r>
            <w:r>
              <w:rPr>
                <w:rFonts w:hint="eastAsia" w:ascii="宋体" w:hAnsi="宋体" w:cs="宋体"/>
                <w:sz w:val="24"/>
                <w:szCs w:val="24"/>
                <w:lang w:eastAsia="zh-CN"/>
              </w:rPr>
              <w:t>，模型是否包含财务、运营、合规三类风险</w:t>
            </w:r>
            <w:r>
              <w:rPr>
                <w:rFonts w:hint="eastAsia" w:ascii="宋体" w:hAnsi="宋体" w:eastAsia="宋体" w:cs="宋体"/>
                <w:sz w:val="24"/>
                <w:szCs w:val="24"/>
              </w:rPr>
              <w:t>（4分）</w:t>
            </w:r>
          </w:p>
          <w:p w14:paraId="05C7B46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内控评价符合《公立医院内部控制管理办法》（4分）</w:t>
            </w:r>
          </w:p>
          <w:p w14:paraId="11813A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服务内容完整性（8分）：</w:t>
            </w:r>
          </w:p>
          <w:p w14:paraId="74EF485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覆盖预算/收支/采购/资产/科研/合同全流程</w:t>
            </w:r>
            <w:r>
              <w:rPr>
                <w:rFonts w:hint="eastAsia" w:ascii="宋体" w:hAnsi="宋体" w:cs="宋体"/>
                <w:sz w:val="24"/>
                <w:szCs w:val="24"/>
                <w:lang w:eastAsia="zh-CN"/>
              </w:rPr>
              <w:t>，内控评价覆盖流程完整性需提供具体章节说明</w:t>
            </w:r>
            <w:r>
              <w:rPr>
                <w:rFonts w:hint="eastAsia" w:ascii="宋体" w:hAnsi="宋体" w:eastAsia="宋体" w:cs="宋体"/>
                <w:sz w:val="24"/>
                <w:szCs w:val="24"/>
              </w:rPr>
              <w:t>（每缺失一项扣2分）</w:t>
            </w:r>
          </w:p>
          <w:p w14:paraId="117B25C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实施保障（8分）：</w:t>
            </w:r>
          </w:p>
          <w:p w14:paraId="19A5DE8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提供医疗数据安全专项方案（4分）</w:t>
            </w:r>
          </w:p>
          <w:p w14:paraId="2A060A8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highlight w:val="yellow"/>
              </w:rPr>
              <w:t>制定</w:t>
            </w:r>
            <w:r>
              <w:rPr>
                <w:rFonts w:hint="eastAsia" w:ascii="宋体" w:hAnsi="宋体" w:cs="宋体"/>
                <w:sz w:val="24"/>
                <w:szCs w:val="24"/>
                <w:highlight w:val="yellow"/>
                <w:lang w:val="en-US" w:eastAsia="zh-CN"/>
              </w:rPr>
              <w:t>4月1日至4月30日现场审计计划</w:t>
            </w:r>
            <w:r>
              <w:rPr>
                <w:rFonts w:hint="eastAsia" w:ascii="宋体" w:hAnsi="宋体" w:cs="宋体"/>
                <w:sz w:val="24"/>
                <w:szCs w:val="24"/>
                <w:lang w:val="en-US" w:eastAsia="zh-CN"/>
              </w:rPr>
              <w:t>及5</w:t>
            </w:r>
            <w:r>
              <w:rPr>
                <w:rFonts w:hint="eastAsia" w:ascii="宋体" w:hAnsi="宋体" w:eastAsia="宋体" w:cs="宋体"/>
                <w:sz w:val="24"/>
                <w:szCs w:val="24"/>
              </w:rPr>
              <w:t>月30日前交付保障计划（4分）</w:t>
            </w:r>
          </w:p>
        </w:tc>
        <w:tc>
          <w:tcPr>
            <w:tcW w:w="1346" w:type="dxa"/>
            <w:noWrap w:val="0"/>
            <w:vAlign w:val="center"/>
          </w:tcPr>
          <w:p w14:paraId="5CDB96D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24</w:t>
            </w:r>
            <w:r>
              <w:rPr>
                <w:rFonts w:hint="eastAsia" w:ascii="宋体" w:hAnsi="宋体" w:eastAsia="宋体" w:cs="宋体"/>
                <w:sz w:val="24"/>
                <w:szCs w:val="24"/>
              </w:rPr>
              <w:t>分</w:t>
            </w:r>
          </w:p>
        </w:tc>
        <w:tc>
          <w:tcPr>
            <w:tcW w:w="1303" w:type="dxa"/>
            <w:noWrap w:val="0"/>
            <w:vAlign w:val="center"/>
          </w:tcPr>
          <w:p w14:paraId="01D810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5EB5E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1922732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1212" w:type="dxa"/>
            <w:noWrap w:val="0"/>
            <w:vAlign w:val="center"/>
          </w:tcPr>
          <w:p w14:paraId="4E78477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服务承诺</w:t>
            </w:r>
          </w:p>
        </w:tc>
        <w:tc>
          <w:tcPr>
            <w:tcW w:w="5369" w:type="dxa"/>
            <w:noWrap w:val="0"/>
            <w:vAlign w:val="top"/>
          </w:tcPr>
          <w:p w14:paraId="28A5F44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团队专业性（7分）：</w:t>
            </w:r>
          </w:p>
          <w:p w14:paraId="62E3EFE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项目组含2名医疗行业资深审计人员（4分）</w:t>
            </w:r>
          </w:p>
          <w:p w14:paraId="303562A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团队成员具备医疗信息化系统审计经验（3分）</w:t>
            </w:r>
          </w:p>
          <w:p w14:paraId="4B9AFA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响应时效（7分）：</w:t>
            </w:r>
          </w:p>
          <w:p w14:paraId="305E6E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- 2小时内响应，48小时内到场（5分）</w:t>
            </w:r>
          </w:p>
          <w:p w14:paraId="501324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提供7×24小时应急联络机制（2分）</w:t>
            </w:r>
          </w:p>
          <w:p w14:paraId="128AE98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质量保障（7分）：</w:t>
            </w:r>
          </w:p>
          <w:p w14:paraId="5DA3FFD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提交阶段性成果并经采购方确认（3分）</w:t>
            </w:r>
          </w:p>
          <w:p w14:paraId="0D22DDE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质保期内免费修正问题（4分）</w:t>
            </w:r>
          </w:p>
        </w:tc>
        <w:tc>
          <w:tcPr>
            <w:tcW w:w="1346" w:type="dxa"/>
            <w:noWrap w:val="0"/>
            <w:vAlign w:val="center"/>
          </w:tcPr>
          <w:p w14:paraId="6A7B29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0-21分</w:t>
            </w:r>
          </w:p>
        </w:tc>
        <w:tc>
          <w:tcPr>
            <w:tcW w:w="1303" w:type="dxa"/>
            <w:noWrap w:val="0"/>
            <w:vAlign w:val="center"/>
          </w:tcPr>
          <w:p w14:paraId="3AB5BBD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37829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8" w:hRule="atLeast"/>
        </w:trPr>
        <w:tc>
          <w:tcPr>
            <w:tcW w:w="690" w:type="dxa"/>
            <w:noWrap w:val="0"/>
            <w:vAlign w:val="center"/>
          </w:tcPr>
          <w:p w14:paraId="2CFF98E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212" w:type="dxa"/>
            <w:noWrap w:val="0"/>
            <w:vAlign w:val="center"/>
          </w:tcPr>
          <w:p w14:paraId="42AAE47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商务部分</w:t>
            </w:r>
          </w:p>
        </w:tc>
        <w:tc>
          <w:tcPr>
            <w:tcW w:w="5369" w:type="dxa"/>
            <w:noWrap w:val="0"/>
            <w:vAlign w:val="center"/>
          </w:tcPr>
          <w:p w14:paraId="43F42A6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FE8D7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商务分</w:t>
            </w:r>
            <w:r>
              <w:rPr>
                <w:rFonts w:hint="eastAsia" w:ascii="宋体" w:hAnsi="宋体" w:eastAsia="宋体" w:cs="宋体"/>
                <w:sz w:val="24"/>
                <w:szCs w:val="24"/>
              </w:rPr>
              <w:t>（满分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1303" w:type="dxa"/>
            <w:noWrap w:val="0"/>
            <w:vAlign w:val="center"/>
          </w:tcPr>
          <w:p w14:paraId="4AAE669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45B57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36CEC9A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w:t>
            </w:r>
          </w:p>
        </w:tc>
        <w:tc>
          <w:tcPr>
            <w:tcW w:w="1212" w:type="dxa"/>
            <w:noWrap w:val="0"/>
            <w:vAlign w:val="center"/>
          </w:tcPr>
          <w:p w14:paraId="74B2930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企业资质</w:t>
            </w:r>
          </w:p>
        </w:tc>
        <w:tc>
          <w:tcPr>
            <w:tcW w:w="5369" w:type="dxa"/>
            <w:noWrap w:val="0"/>
            <w:vAlign w:val="center"/>
          </w:tcPr>
          <w:p w14:paraId="5A3F1B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近3年每完成1家公立医院财务审计项目（需提供中标通知书/合同关键页，且审计内容涵盖财务报表、内控评价或风险评估），得4分，满分16分。</w:t>
            </w:r>
          </w:p>
          <w:p w14:paraId="29C5E52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p>
        </w:tc>
        <w:tc>
          <w:tcPr>
            <w:tcW w:w="1346" w:type="dxa"/>
            <w:noWrap w:val="0"/>
            <w:vAlign w:val="center"/>
          </w:tcPr>
          <w:p w14:paraId="3EE29F8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0-16</w:t>
            </w:r>
            <w:r>
              <w:rPr>
                <w:rFonts w:hint="eastAsia" w:ascii="宋体" w:hAnsi="宋体" w:eastAsia="宋体" w:cs="宋体"/>
                <w:sz w:val="24"/>
                <w:szCs w:val="24"/>
              </w:rPr>
              <w:t>分</w:t>
            </w:r>
          </w:p>
        </w:tc>
        <w:tc>
          <w:tcPr>
            <w:tcW w:w="1303" w:type="dxa"/>
            <w:noWrap w:val="0"/>
            <w:vAlign w:val="center"/>
          </w:tcPr>
          <w:p w14:paraId="0846873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1BB3F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7" w:hRule="atLeast"/>
        </w:trPr>
        <w:tc>
          <w:tcPr>
            <w:tcW w:w="690" w:type="dxa"/>
            <w:noWrap w:val="0"/>
            <w:vAlign w:val="center"/>
          </w:tcPr>
          <w:p w14:paraId="0CC953F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w:t>
            </w:r>
          </w:p>
        </w:tc>
        <w:tc>
          <w:tcPr>
            <w:tcW w:w="1212" w:type="dxa"/>
            <w:noWrap w:val="0"/>
            <w:vAlign w:val="center"/>
          </w:tcPr>
          <w:p w14:paraId="4D54913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企业综合评价</w:t>
            </w:r>
          </w:p>
        </w:tc>
        <w:tc>
          <w:tcPr>
            <w:tcW w:w="5369" w:type="dxa"/>
            <w:noWrap w:val="0"/>
            <w:vAlign w:val="center"/>
          </w:tcPr>
          <w:p w14:paraId="77199C9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1.</w:t>
            </w:r>
            <w:r>
              <w:rPr>
                <w:color w:val="000000"/>
                <w:sz w:val="24"/>
                <w:szCs w:val="24"/>
              </w:rPr>
              <w:t>在各省份注册会计师协会发布的最新年度综合评价排名中，排名</w:t>
            </w:r>
            <w:r>
              <w:rPr>
                <w:rStyle w:val="56"/>
                <w:b/>
                <w:bCs/>
                <w:color w:val="000000"/>
                <w:sz w:val="24"/>
                <w:szCs w:val="24"/>
              </w:rPr>
              <w:t>前 5 名</w:t>
            </w:r>
            <w:r>
              <w:rPr>
                <w:color w:val="000000"/>
                <w:sz w:val="24"/>
                <w:szCs w:val="24"/>
              </w:rPr>
              <w:t>的，得</w:t>
            </w:r>
            <w:r>
              <w:rPr>
                <w:rStyle w:val="56"/>
                <w:b/>
                <w:bCs/>
                <w:color w:val="000000"/>
                <w:sz w:val="24"/>
                <w:szCs w:val="24"/>
              </w:rPr>
              <w:t>10 分</w:t>
            </w:r>
            <w:r>
              <w:rPr>
                <w:color w:val="000000"/>
                <w:sz w:val="24"/>
                <w:szCs w:val="24"/>
              </w:rPr>
              <w:t>。</w:t>
            </w:r>
          </w:p>
          <w:p w14:paraId="373CB50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2.</w:t>
            </w:r>
            <w:r>
              <w:rPr>
                <w:color w:val="000000"/>
                <w:sz w:val="24"/>
                <w:szCs w:val="24"/>
              </w:rPr>
              <w:t>在各省份注册会计师协会发布的最新年度综合评价排名中，排名</w:t>
            </w:r>
            <w:r>
              <w:rPr>
                <w:rStyle w:val="56"/>
                <w:b/>
                <w:bCs/>
                <w:color w:val="000000"/>
                <w:sz w:val="24"/>
                <w:szCs w:val="24"/>
              </w:rPr>
              <w:t>第 6—10 名</w:t>
            </w:r>
            <w:r>
              <w:rPr>
                <w:color w:val="000000"/>
                <w:sz w:val="24"/>
                <w:szCs w:val="24"/>
              </w:rPr>
              <w:t>的，得</w:t>
            </w:r>
            <w:r>
              <w:rPr>
                <w:rStyle w:val="56"/>
                <w:b/>
                <w:bCs/>
                <w:color w:val="000000"/>
                <w:sz w:val="24"/>
                <w:szCs w:val="24"/>
              </w:rPr>
              <w:t>6 分</w:t>
            </w:r>
            <w:r>
              <w:rPr>
                <w:color w:val="000000"/>
                <w:sz w:val="24"/>
                <w:szCs w:val="24"/>
              </w:rPr>
              <w:t>。</w:t>
            </w:r>
          </w:p>
          <w:p w14:paraId="6783D91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3.</w:t>
            </w:r>
            <w:r>
              <w:rPr>
                <w:color w:val="000000"/>
                <w:sz w:val="24"/>
                <w:szCs w:val="24"/>
              </w:rPr>
              <w:t>在各省份注册会计师协会发布的最新年度综合评价排名中，排名</w:t>
            </w:r>
            <w:r>
              <w:rPr>
                <w:rStyle w:val="56"/>
                <w:b/>
                <w:bCs/>
                <w:color w:val="000000"/>
                <w:sz w:val="24"/>
                <w:szCs w:val="24"/>
              </w:rPr>
              <w:t>第 11 名及以后</w:t>
            </w:r>
            <w:r>
              <w:rPr>
                <w:color w:val="000000"/>
                <w:sz w:val="24"/>
                <w:szCs w:val="24"/>
              </w:rPr>
              <w:t>的，得</w:t>
            </w:r>
            <w:r>
              <w:rPr>
                <w:rStyle w:val="56"/>
                <w:b/>
                <w:bCs/>
                <w:color w:val="000000"/>
                <w:sz w:val="24"/>
                <w:szCs w:val="24"/>
              </w:rPr>
              <w:t>2 分</w:t>
            </w:r>
            <w:r>
              <w:rPr>
                <w:color w:val="000000"/>
                <w:sz w:val="24"/>
                <w:szCs w:val="24"/>
              </w:rPr>
              <w:t>。</w:t>
            </w:r>
          </w:p>
          <w:p w14:paraId="6EB5E5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本项满分 10 分。投标文件必须提供各省份注册会计师协会排名的官方文件并加盖投标人公章，不提供得 0 分</w:t>
            </w:r>
          </w:p>
          <w:p w14:paraId="701B94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p>
          <w:p w14:paraId="243E907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c>
          <w:tcPr>
            <w:tcW w:w="1346" w:type="dxa"/>
            <w:noWrap w:val="0"/>
            <w:vAlign w:val="center"/>
          </w:tcPr>
          <w:p w14:paraId="2091E6C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0-10</w:t>
            </w:r>
            <w:r>
              <w:rPr>
                <w:rFonts w:hint="eastAsia" w:ascii="宋体" w:hAnsi="宋体" w:eastAsia="宋体" w:cs="宋体"/>
                <w:sz w:val="24"/>
                <w:szCs w:val="24"/>
              </w:rPr>
              <w:t>分</w:t>
            </w:r>
          </w:p>
        </w:tc>
        <w:tc>
          <w:tcPr>
            <w:tcW w:w="1303" w:type="dxa"/>
            <w:noWrap w:val="0"/>
            <w:vAlign w:val="center"/>
          </w:tcPr>
          <w:p w14:paraId="72D9D49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2F5616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6" w:hRule="atLeast"/>
        </w:trPr>
        <w:tc>
          <w:tcPr>
            <w:tcW w:w="690" w:type="dxa"/>
            <w:noWrap w:val="0"/>
            <w:vAlign w:val="center"/>
          </w:tcPr>
          <w:p w14:paraId="4523C35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3.3</w:t>
            </w:r>
          </w:p>
        </w:tc>
        <w:tc>
          <w:tcPr>
            <w:tcW w:w="1212" w:type="dxa"/>
            <w:noWrap w:val="0"/>
            <w:vAlign w:val="center"/>
          </w:tcPr>
          <w:p w14:paraId="4E99BD2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企业人员实力</w:t>
            </w:r>
          </w:p>
        </w:tc>
        <w:tc>
          <w:tcPr>
            <w:tcW w:w="5369" w:type="dxa"/>
            <w:noWrap w:val="0"/>
            <w:vAlign w:val="center"/>
          </w:tcPr>
          <w:p w14:paraId="7FFC66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注册会计师人数达10人得3分，每增1人加1分（上限8分）。</w:t>
            </w:r>
          </w:p>
          <w:p w14:paraId="2209E9D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从业人员≥50人得6分；30-49人得4分；&lt;30人得0分（上限</w:t>
            </w:r>
            <w:r>
              <w:rPr>
                <w:rFonts w:hint="eastAsia" w:ascii="宋体" w:hAnsi="宋体" w:cs="宋体"/>
                <w:sz w:val="24"/>
                <w:szCs w:val="24"/>
                <w:lang w:val="en-US" w:eastAsia="zh-CN"/>
              </w:rPr>
              <w:t>6</w:t>
            </w:r>
            <w:r>
              <w:rPr>
                <w:rFonts w:hint="eastAsia" w:ascii="宋体" w:hAnsi="宋体" w:eastAsia="宋体" w:cs="宋体"/>
                <w:sz w:val="24"/>
                <w:szCs w:val="24"/>
              </w:rPr>
              <w:t>分）。</w:t>
            </w:r>
          </w:p>
          <w:p w14:paraId="4FA4FCF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项目负责人（上限</w:t>
            </w:r>
            <w:r>
              <w:rPr>
                <w:rFonts w:hint="eastAsia" w:ascii="宋体" w:hAnsi="宋体" w:cs="宋体"/>
                <w:sz w:val="24"/>
                <w:szCs w:val="24"/>
                <w:lang w:val="en-US" w:eastAsia="zh-CN"/>
              </w:rPr>
              <w:t>5</w:t>
            </w:r>
            <w:r>
              <w:rPr>
                <w:rFonts w:hint="eastAsia" w:ascii="宋体" w:hAnsi="宋体" w:eastAsia="宋体" w:cs="宋体"/>
                <w:sz w:val="24"/>
                <w:szCs w:val="24"/>
              </w:rPr>
              <w:t>分）：</w:t>
            </w:r>
          </w:p>
          <w:p w14:paraId="5E2BED2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高级会计师+5年医疗审计经验+持"高层次财会人才"证书，得5分；</w:t>
            </w:r>
          </w:p>
          <w:p w14:paraId="692DFF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高级会计师+5年医疗审计经验，得3分；</w:t>
            </w:r>
          </w:p>
          <w:p w14:paraId="3724A0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其他不得分。</w:t>
            </w:r>
          </w:p>
        </w:tc>
        <w:tc>
          <w:tcPr>
            <w:tcW w:w="1346" w:type="dxa"/>
            <w:noWrap w:val="0"/>
            <w:vAlign w:val="center"/>
          </w:tcPr>
          <w:p w14:paraId="5461A69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0-19</w:t>
            </w:r>
            <w:r>
              <w:rPr>
                <w:rFonts w:hint="eastAsia" w:ascii="宋体" w:hAnsi="宋体" w:eastAsia="宋体" w:cs="宋体"/>
                <w:sz w:val="24"/>
                <w:szCs w:val="24"/>
              </w:rPr>
              <w:t>分</w:t>
            </w:r>
          </w:p>
        </w:tc>
        <w:tc>
          <w:tcPr>
            <w:tcW w:w="1303" w:type="dxa"/>
            <w:noWrap w:val="0"/>
            <w:vAlign w:val="center"/>
          </w:tcPr>
          <w:p w14:paraId="71BE65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55A69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271" w:type="dxa"/>
            <w:gridSpan w:val="3"/>
            <w:noWrap w:val="0"/>
            <w:vAlign w:val="center"/>
          </w:tcPr>
          <w:p w14:paraId="383B703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总得分</w:t>
            </w:r>
            <w:r>
              <w:rPr>
                <w:rFonts w:hint="eastAsia" w:ascii="宋体" w:hAnsi="宋体" w:eastAsia="宋体" w:cs="宋体"/>
                <w:sz w:val="24"/>
                <w:szCs w:val="24"/>
                <w:lang w:val="en-US" w:eastAsia="zh-CN"/>
              </w:rPr>
              <w:t>100分</w:t>
            </w:r>
            <w:r>
              <w:rPr>
                <w:rFonts w:hint="eastAsia" w:ascii="宋体" w:hAnsi="宋体" w:eastAsia="宋体" w:cs="宋体"/>
                <w:sz w:val="24"/>
                <w:szCs w:val="24"/>
              </w:rPr>
              <w:t>（100分）＝1＋2＋3</w:t>
            </w:r>
          </w:p>
        </w:tc>
        <w:tc>
          <w:tcPr>
            <w:tcW w:w="1346" w:type="dxa"/>
            <w:noWrap w:val="0"/>
            <w:vAlign w:val="center"/>
          </w:tcPr>
          <w:p w14:paraId="4234FB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总分100分</w:t>
            </w:r>
          </w:p>
        </w:tc>
        <w:tc>
          <w:tcPr>
            <w:tcW w:w="1303" w:type="dxa"/>
            <w:noWrap w:val="0"/>
            <w:vAlign w:val="center"/>
          </w:tcPr>
          <w:p w14:paraId="72B37AB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20642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 w:hRule="atLeast"/>
        </w:trPr>
        <w:tc>
          <w:tcPr>
            <w:tcW w:w="9920" w:type="dxa"/>
            <w:gridSpan w:val="5"/>
            <w:noWrap w:val="0"/>
            <w:vAlign w:val="center"/>
          </w:tcPr>
          <w:p w14:paraId="14BB17F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评委专家签字：</w:t>
            </w:r>
          </w:p>
        </w:tc>
      </w:tr>
    </w:tbl>
    <w:p w14:paraId="2FD2831E">
      <w:pPr>
        <w:tabs>
          <w:tab w:val="left" w:pos="1956"/>
        </w:tabs>
        <w:bidi w:val="0"/>
        <w:jc w:val="left"/>
        <w:rPr>
          <w:rFonts w:hint="eastAsia"/>
          <w:lang w:val="en-US" w:eastAsia="zh-CN"/>
        </w:rPr>
      </w:pP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w:t>
    </w:r>
    <w:r>
      <w:rPr>
        <w:rFonts w:hint="eastAsia"/>
        <w:color w:val="auto"/>
        <w:lang w:val="en-US" w:eastAsia="zh-CN"/>
      </w:rPr>
      <w:t>2025-2027年度审计（一年一审）</w:t>
    </w:r>
    <w:r>
      <w:rPr>
        <w:rFonts w:hint="eastAsia" w:eastAsia="宋体"/>
        <w:color w:val="auto"/>
        <w:lang w:val="en-US" w:eastAsia="zh-CN"/>
      </w:rPr>
      <w:t>服务采购项目</w:t>
    </w:r>
    <w:r>
      <w:rPr>
        <w:rFonts w:hint="eastAsia"/>
        <w:color w:val="auto"/>
      </w:rPr>
      <w:t>（采购编号：RYCG202</w:t>
    </w:r>
    <w:r>
      <w:rPr>
        <w:rFonts w:hint="eastAsia"/>
        <w:color w:val="auto"/>
        <w:lang w:val="en-US" w:eastAsia="zh-CN"/>
      </w:rPr>
      <w:t>6058融</w:t>
    </w:r>
    <w:r>
      <w:rPr>
        <w:rFonts w:hint="eastAsia"/>
        <w:color w:val="auto"/>
      </w:rPr>
      <w:t>人医招〔202</w:t>
    </w:r>
    <w:r>
      <w:rPr>
        <w:rFonts w:hint="eastAsia"/>
        <w:color w:val="auto"/>
        <w:lang w:val="en-US" w:eastAsia="zh-CN"/>
      </w:rPr>
      <w:t>6</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88366"/>
    <w:multiLevelType w:val="singleLevel"/>
    <w:tmpl w:val="9DE88366"/>
    <w:lvl w:ilvl="0" w:tentative="0">
      <w:start w:val="2"/>
      <w:numFmt w:val="chineseCounting"/>
      <w:suff w:val="space"/>
      <w:lvlText w:val="第%1章"/>
      <w:lvlJc w:val="left"/>
      <w:rPr>
        <w:rFonts w:hint="eastAsia"/>
      </w:rPr>
    </w:lvl>
  </w:abstractNum>
  <w:abstractNum w:abstractNumId="1">
    <w:nsid w:val="E9691792"/>
    <w:multiLevelType w:val="singleLevel"/>
    <w:tmpl w:val="E9691792"/>
    <w:lvl w:ilvl="0" w:tentative="0">
      <w:start w:val="1"/>
      <w:numFmt w:val="decimal"/>
      <w:lvlText w:val="%1."/>
      <w:lvlJc w:val="left"/>
      <w:pPr>
        <w:tabs>
          <w:tab w:val="left" w:pos="312"/>
        </w:tabs>
      </w:pPr>
    </w:lvl>
  </w:abstractNum>
  <w:abstractNum w:abstractNumId="2">
    <w:nsid w:val="F8CF931D"/>
    <w:multiLevelType w:val="singleLevel"/>
    <w:tmpl w:val="F8CF931D"/>
    <w:lvl w:ilvl="0" w:tentative="0">
      <w:start w:val="8"/>
      <w:numFmt w:val="chineseCounting"/>
      <w:suff w:val="nothing"/>
      <w:lvlText w:val="%1、"/>
      <w:lvlJc w:val="left"/>
      <w:rPr>
        <w:rFonts w:hint="eastAsia"/>
      </w:rPr>
    </w:lvl>
  </w:abstractNum>
  <w:abstractNum w:abstractNumId="3">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4">
    <w:nsid w:val="13DC1E90"/>
    <w:multiLevelType w:val="multilevel"/>
    <w:tmpl w:val="13DC1E9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683A484A"/>
    <w:multiLevelType w:val="multilevel"/>
    <w:tmpl w:val="683A484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
    <w:nsid w:val="7C115ACE"/>
    <w:multiLevelType w:val="multilevel"/>
    <w:tmpl w:val="7C115ACE"/>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6"/>
  </w:num>
  <w:num w:numId="3">
    <w:abstractNumId w:val="0"/>
  </w:num>
  <w:num w:numId="4">
    <w:abstractNumId w:val="4"/>
  </w:num>
  <w:num w:numId="5">
    <w:abstractNumId w:val="5"/>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006DD4"/>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44CAC"/>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3E5192"/>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1F5BBC"/>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CC0CF1"/>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B1BE9"/>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32296"/>
    <w:rsid w:val="30FA7AC8"/>
    <w:rsid w:val="31271F3F"/>
    <w:rsid w:val="31373B3F"/>
    <w:rsid w:val="31456F95"/>
    <w:rsid w:val="314B7480"/>
    <w:rsid w:val="3165174D"/>
    <w:rsid w:val="31660CB9"/>
    <w:rsid w:val="316867E0"/>
    <w:rsid w:val="317E78D0"/>
    <w:rsid w:val="31804511"/>
    <w:rsid w:val="3182078C"/>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A345F2"/>
    <w:rsid w:val="3ACF5B21"/>
    <w:rsid w:val="3AF13F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51AF8"/>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C4CE0"/>
    <w:rsid w:val="55CE6CAA"/>
    <w:rsid w:val="55D818D6"/>
    <w:rsid w:val="55EC35D4"/>
    <w:rsid w:val="55FB7373"/>
    <w:rsid w:val="565B40C6"/>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1F016F"/>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B22A0D"/>
    <w:rsid w:val="5DC9453A"/>
    <w:rsid w:val="5DE5004E"/>
    <w:rsid w:val="5DE54B90"/>
    <w:rsid w:val="5DFA19CC"/>
    <w:rsid w:val="5E0771FD"/>
    <w:rsid w:val="5E270E0C"/>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CC5339"/>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CF7607"/>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80ED7"/>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534CD8"/>
    <w:rsid w:val="6B607F4C"/>
    <w:rsid w:val="6B6B121E"/>
    <w:rsid w:val="6B7D7F4A"/>
    <w:rsid w:val="6B8F37C2"/>
    <w:rsid w:val="6BA37E39"/>
    <w:rsid w:val="6BC8789F"/>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C9002B"/>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7FC3BB2"/>
    <w:rsid w:val="780B56E4"/>
    <w:rsid w:val="78340796"/>
    <w:rsid w:val="785C19B9"/>
    <w:rsid w:val="785D57F7"/>
    <w:rsid w:val="78634874"/>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705B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160"/>
    <w:qFormat/>
    <w:uiPriority w:val="0"/>
    <w:pPr>
      <w:keepNext/>
      <w:keepLines/>
      <w:spacing w:before="260" w:after="260" w:line="413" w:lineRule="auto"/>
      <w:outlineLvl w:val="2"/>
    </w:pPr>
    <w:rPr>
      <w:b/>
      <w:bCs/>
      <w:sz w:val="32"/>
      <w:szCs w:val="32"/>
    </w:rPr>
  </w:style>
  <w:style w:type="paragraph" w:styleId="5">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7"/>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7"/>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7"/>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7"/>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6"/>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5"/>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6339</Words>
  <Characters>6753</Characters>
  <Lines>298</Lines>
  <Paragraphs>84</Paragraphs>
  <TotalTime>6</TotalTime>
  <ScaleCrop>false</ScaleCrop>
  <LinksUpToDate>false</LinksUpToDate>
  <CharactersWithSpaces>7400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无心人</cp:lastModifiedBy>
  <cp:lastPrinted>2025-04-22T09:19:00Z</cp:lastPrinted>
  <dcterms:modified xsi:type="dcterms:W3CDTF">2026-03-24T03:24:48Z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76C20D1560FA4DF3AE2D4C6C1DB027A2_13</vt:lpwstr>
  </property>
  <property fmtid="{D5CDD505-2E9C-101B-9397-08002B2CF9AE}" pid="13" name="KSOTemplateDocerSaveRecord">
    <vt:lpwstr>eyJoZGlkIjoiYjI0M2Y2ZWVhYjQ0YmI4NjQ4ZjNhYzhmYjE2MjllMTkiLCJ1c2VySWQiOiIzNDkxMzkxODgifQ==</vt:lpwstr>
  </property>
</Properties>
</file>