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项目名称：融水苗族自治县人民医院3号楼新增不锈钢骨架耐力板面层雨棚采购项目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w:t>
      </w:r>
      <w:r>
        <w:rPr>
          <w:rFonts w:hint="eastAsia" w:ascii="宋体" w:hAnsi="宋体" w:cs="宋体"/>
          <w:color w:val="auto"/>
          <w:sz w:val="36"/>
          <w:szCs w:val="36"/>
          <w:lang w:val="en-US" w:eastAsia="zh-CN"/>
        </w:rPr>
        <w:t>42</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5"/>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7</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项目需求</w:t>
      </w:r>
      <w:r>
        <w:rPr>
          <w:rFonts w:hint="eastAsia" w:ascii="宋体" w:hAnsi="宋体" w:eastAsia="宋体" w:cs="宋体"/>
          <w:sz w:val="28"/>
          <w:szCs w:val="28"/>
        </w:rPr>
        <w:tab/>
      </w:r>
      <w:r>
        <w:rPr>
          <w:rFonts w:hint="eastAsia" w:cs="宋体"/>
          <w:sz w:val="28"/>
          <w:szCs w:val="28"/>
          <w:lang w:val="en-US" w:eastAsia="zh-CN"/>
        </w:rPr>
        <w:t>6</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1</w:t>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1</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12</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7</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2</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5EF8907F">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lang w:val="en-US" w:eastAsia="zh-CN"/>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九</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现场踏勘确认表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2</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2</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cs="宋体"/>
          <w:b/>
          <w:bCs/>
          <w:sz w:val="28"/>
          <w:szCs w:val="28"/>
          <w:lang w:val="en-US" w:eastAsia="zh-CN"/>
        </w:rPr>
        <w:t>2</w:t>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3</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5BB264D6">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ascii="宋体" w:hAnsi="宋体" w:eastAsia="宋体" w:cs="宋体"/>
          <w:b/>
          <w:bCs/>
          <w:i w:val="0"/>
          <w:iCs w:val="0"/>
          <w:caps w:val="0"/>
          <w:color w:val="000000"/>
          <w:spacing w:val="0"/>
          <w:sz w:val="39"/>
          <w:szCs w:val="39"/>
        </w:rPr>
      </w:pPr>
      <w:bookmarkStart w:id="4" w:name="_Toc29213"/>
      <w:bookmarkStart w:id="5" w:name="_Toc28433"/>
      <w:r>
        <w:rPr>
          <w:rFonts w:hint="eastAsia" w:ascii="宋体" w:hAnsi="宋体" w:eastAsia="宋体" w:cs="宋体"/>
          <w:b/>
          <w:bCs/>
          <w:i w:val="0"/>
          <w:iCs w:val="0"/>
          <w:caps w:val="0"/>
          <w:color w:val="000000"/>
          <w:spacing w:val="0"/>
          <w:sz w:val="39"/>
          <w:szCs w:val="39"/>
          <w:shd w:val="clear" w:fill="FFFFFF"/>
        </w:rPr>
        <w:t>融水苗族自治县人民医院3号楼新增不锈钢骨架耐力板面层雨棚采购项目竞争性磋商公告</w:t>
      </w:r>
    </w:p>
    <w:p w14:paraId="0554810A">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融水苗族自治县人民医院拟对 3 号楼新增不锈钢骨架耐力板面层雨棚进行采购，现通过竞争性磋商方式选定供应商，欢迎符合条件的供应商参与投标：</w:t>
      </w:r>
    </w:p>
    <w:p w14:paraId="7BBC57C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一、项目基本情况</w:t>
      </w:r>
    </w:p>
    <w:p w14:paraId="5560C7EF">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项目编号：RYCG202504</w:t>
      </w:r>
      <w:r>
        <w:rPr>
          <w:rFonts w:hint="eastAsia" w:ascii="宋体" w:hAnsi="宋体" w:cs="宋体"/>
          <w:color w:val="auto"/>
          <w:sz w:val="28"/>
          <w:szCs w:val="28"/>
          <w:lang w:val="en-US" w:eastAsia="zh-CN"/>
        </w:rPr>
        <w:t>2</w:t>
      </w:r>
    </w:p>
    <w:p w14:paraId="4E73D692">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项目名称：融水苗族自治县人民医院3号楼新增不锈钢骨架耐力板面层雨棚采购项目</w:t>
      </w:r>
    </w:p>
    <w:p w14:paraId="03D63A41">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建设地点</w:t>
      </w:r>
      <w:r>
        <w:rPr>
          <w:rFonts w:hint="eastAsia" w:ascii="宋体" w:hAnsi="宋体" w:eastAsia="宋体" w:cs="宋体"/>
          <w:color w:val="auto"/>
          <w:sz w:val="28"/>
          <w:szCs w:val="28"/>
          <w:lang w:val="en-US" w:eastAsia="zh-CN"/>
        </w:rPr>
        <w:t>：融水苗族自治县人民医院</w:t>
      </w:r>
      <w:r>
        <w:rPr>
          <w:rFonts w:hint="eastAsia" w:ascii="宋体" w:hAnsi="宋体" w:cs="宋体"/>
          <w:color w:val="auto"/>
          <w:sz w:val="28"/>
          <w:szCs w:val="28"/>
          <w:lang w:val="en-US" w:eastAsia="zh-CN"/>
        </w:rPr>
        <w:t>3号楼电梯口旁</w:t>
      </w:r>
      <w:r>
        <w:rPr>
          <w:rFonts w:hint="eastAsia" w:ascii="宋体" w:hAnsi="宋体" w:eastAsia="宋体" w:cs="宋体"/>
          <w:color w:val="auto"/>
          <w:sz w:val="28"/>
          <w:szCs w:val="28"/>
          <w:lang w:val="en-US" w:eastAsia="zh-CN"/>
        </w:rPr>
        <w:t>。</w:t>
      </w:r>
    </w:p>
    <w:p w14:paraId="7921835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采购预算：人民币壹拾贰万壹仟捌佰肆拾捌元整（¥121848.00元）</w:t>
      </w:r>
    </w:p>
    <w:p w14:paraId="12D43543">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服务范围</w:t>
      </w:r>
      <w:r>
        <w:rPr>
          <w:rFonts w:hint="eastAsia" w:ascii="宋体" w:hAnsi="宋体" w:eastAsia="宋体" w:cs="宋体"/>
          <w:color w:val="auto"/>
          <w:sz w:val="28"/>
          <w:szCs w:val="28"/>
          <w:lang w:val="en-US" w:eastAsia="zh-CN"/>
        </w:rPr>
        <w:t>：融水苗族自治县人民医院 3 号楼主楼指定区域，建设不锈钢骨架耐力板面层雨棚，包含但不限于：</w:t>
      </w:r>
    </w:p>
    <w:p w14:paraId="49142DD5">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采光天棚（含 304 不锈钢骨架及 3mm 厚透明耐力板）施工</w:t>
      </w:r>
    </w:p>
    <w:p w14:paraId="241BB89C">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实腹钢柱（正多边形 200</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200</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3）制作、安装及除锈喷漆</w:t>
      </w:r>
    </w:p>
    <w:p w14:paraId="6083FD04">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eastAsia" w:ascii="宋体" w:hAnsi="宋体" w:eastAsia="宋体" w:cs="宋体"/>
          <w:color w:val="auto"/>
          <w:sz w:val="28"/>
          <w:szCs w:val="28"/>
          <w:lang w:val="en-US" w:eastAsia="zh-CN"/>
        </w:rPr>
        <w:t>304 不锈钢（40x60x20 规格）、透明耐力板（3mm 厚）等材料供应与安装</w:t>
      </w:r>
    </w:p>
    <w:p w14:paraId="57CD88AA">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结构胶、龙骨配件、不锈水槽、PVC110 排水管等辅材安装</w:t>
      </w:r>
    </w:p>
    <w:p w14:paraId="68FE91FE">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5.</w:t>
      </w:r>
      <w:r>
        <w:rPr>
          <w:rFonts w:hint="eastAsia" w:ascii="宋体" w:hAnsi="宋体" w:eastAsia="宋体" w:cs="宋体"/>
          <w:color w:val="auto"/>
          <w:sz w:val="28"/>
          <w:szCs w:val="28"/>
          <w:lang w:val="en-US" w:eastAsia="zh-CN"/>
        </w:rPr>
        <w:t>简易脚手架搭设及使用</w:t>
      </w:r>
    </w:p>
    <w:p w14:paraId="09FE9D60">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钢结构喷河砂除锈、红丹防锈漆及酚醛防锈漆涂刷</w:t>
      </w:r>
    </w:p>
    <w:p w14:paraId="45CDCE9E">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金属结构构件运输（运距 10km）</w:t>
      </w:r>
    </w:p>
    <w:p w14:paraId="6B241903">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8.</w:t>
      </w:r>
      <w:r>
        <w:rPr>
          <w:rFonts w:hint="eastAsia" w:ascii="宋体" w:hAnsi="宋体" w:eastAsia="宋体" w:cs="宋体"/>
          <w:color w:val="auto"/>
          <w:sz w:val="28"/>
          <w:szCs w:val="28"/>
          <w:lang w:val="en-US" w:eastAsia="zh-CN"/>
        </w:rPr>
        <w:t>预埋铁件、一般铁件制作安装等（具体内容详见项目工程清单）</w:t>
      </w:r>
    </w:p>
    <w:p w14:paraId="02BEEF8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采购需求：</w:t>
      </w:r>
    </w:p>
    <w:p w14:paraId="77E525FA">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1.核心材料需符合标准：304 不锈钢（40x60x20 规格）符合 GB/T 14976-2012 标准，透明耐力板（3mm 厚）透光率≥85%、抗冲击强度≥60kJ/㎡</w:t>
      </w:r>
    </w:p>
    <w:p w14:paraId="450F610E">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2.实腹钢柱采用普通钢板加工，除锈后做白色喷漆处理，含制作、安装、运输全流程</w:t>
      </w:r>
    </w:p>
    <w:p w14:paraId="787ACB57">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3.所有防锈处理需包含喷河砂除锈、红丹防锈漆一遍、酚醛防锈漆一遍工序</w:t>
      </w:r>
    </w:p>
    <w:p w14:paraId="451D8B48">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4.具体要求详见项目工程清单及技术说明</w:t>
      </w:r>
    </w:p>
    <w:p w14:paraId="49FE26CA">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服务期限</w:t>
      </w:r>
      <w:r>
        <w:rPr>
          <w:rFonts w:hint="eastAsia" w:ascii="宋体" w:hAnsi="宋体" w:eastAsia="宋体" w:cs="宋体"/>
          <w:color w:val="auto"/>
          <w:sz w:val="28"/>
          <w:szCs w:val="28"/>
          <w:lang w:val="en-US" w:eastAsia="zh-CN"/>
        </w:rPr>
        <w:t xml:space="preserve">：自合同签订之日起 </w:t>
      </w:r>
      <w:r>
        <w:rPr>
          <w:rFonts w:hint="eastAsia" w:ascii="宋体" w:hAnsi="宋体" w:cs="宋体"/>
          <w:color w:val="auto"/>
          <w:sz w:val="28"/>
          <w:szCs w:val="28"/>
          <w:lang w:val="en-US" w:eastAsia="zh-CN"/>
        </w:rPr>
        <w:t>20</w:t>
      </w:r>
      <w:r>
        <w:rPr>
          <w:rFonts w:hint="eastAsia" w:ascii="宋体" w:hAnsi="宋体" w:eastAsia="宋体" w:cs="宋体"/>
          <w:color w:val="auto"/>
          <w:sz w:val="28"/>
          <w:szCs w:val="28"/>
          <w:lang w:val="en-US" w:eastAsia="zh-CN"/>
        </w:rPr>
        <w:t xml:space="preserve"> 个日历日内完成全部工程内容</w:t>
      </w:r>
      <w:r>
        <w:rPr>
          <w:rFonts w:hint="eastAsia" w:ascii="宋体" w:hAnsi="宋体" w:cs="宋体"/>
          <w:color w:val="auto"/>
          <w:sz w:val="28"/>
          <w:szCs w:val="28"/>
          <w:lang w:val="en-US" w:eastAsia="zh-CN"/>
        </w:rPr>
        <w:t>。</w:t>
      </w:r>
    </w:p>
    <w:p w14:paraId="2F676997">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二、申请人的资格要求</w:t>
      </w:r>
    </w:p>
    <w:p w14:paraId="62336EF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1.具有独立承担民事责任的能力：国内注册的法人企业或依法登记的个体工商户，经营范围包含钢结构工程、建筑装修装饰或金属制品安装相关内容；</w:t>
      </w:r>
    </w:p>
    <w:p w14:paraId="5057241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2.近 3 年内具有至少 1 项类似不锈钢结构或雨棚安装工程（单项合同额 10 万元及以上）的施工业绩（提供合同或验收证明复印件）；</w:t>
      </w:r>
    </w:p>
    <w:p w14:paraId="381EB16F">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3.配备持有有效特种作业操作证的焊工、电工等专业人员（提供证书复印件）；</w:t>
      </w:r>
    </w:p>
    <w:p w14:paraId="09FD4A07">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4.未被列入 “信用中国”“中国政府采购网” 等渠道的失信名单，无重大违法记录；</w:t>
      </w:r>
    </w:p>
    <w:p w14:paraId="3510CCC2">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5.本项目不接受转包、分包，不接受联合体投标。</w:t>
      </w:r>
    </w:p>
    <w:p w14:paraId="2CBB042A">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三、现场踏勘要求</w:t>
      </w:r>
    </w:p>
    <w:p w14:paraId="638F9E9D">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供应商应在招标评审会召开前自行组织对项目现场进行踏勘，以充分了解场地尺寸、建筑结构衔接条件及周边环境，确保对实腹钢柱安装、骨架固定等施工难点有准确认知。</w:t>
      </w:r>
    </w:p>
    <w:p w14:paraId="6BA50378">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eastAsia="zh-CN"/>
        </w:rPr>
        <w:t>踏勘联系人及电话：</w:t>
      </w:r>
      <w:r>
        <w:rPr>
          <w:rFonts w:hint="eastAsia" w:ascii="宋体" w:hAnsi="宋体" w:cs="宋体"/>
          <w:color w:val="auto"/>
          <w:sz w:val="28"/>
          <w:szCs w:val="28"/>
          <w:lang w:val="en-US" w:eastAsia="zh-CN"/>
        </w:rPr>
        <w:t>融水苗族自治县人民医院项目办蓝先生13597215165</w:t>
      </w:r>
      <w:r>
        <w:rPr>
          <w:rFonts w:hint="eastAsia" w:ascii="宋体" w:hAnsi="宋体" w:eastAsia="宋体" w:cs="宋体"/>
          <w:color w:val="auto"/>
          <w:sz w:val="28"/>
          <w:szCs w:val="28"/>
          <w:lang w:eastAsia="zh-CN"/>
        </w:rPr>
        <w:t>，供应商踏勘前需提前与联系人沟通，以便安排现场引导。</w:t>
      </w:r>
    </w:p>
    <w:p w14:paraId="0481668B">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3</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供应商踏勘现场时，须与采购人签署《现场踏勘确认表》，该确认表作为投标文件的组成部分之一，未提供《现场踏勘确认表》的投标文件将被视为无效投标。</w:t>
      </w:r>
    </w:p>
    <w:p w14:paraId="1DBC5971">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供应商踏勘现场发生的费用自理，因未参加踏勘或踏勘不充分导致的任何后果由供应商自行承担。</w:t>
      </w:r>
    </w:p>
    <w:p w14:paraId="0D1FD8AC">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四、投标文件组成</w:t>
      </w:r>
    </w:p>
    <w:p w14:paraId="0B0ED59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营业执照（副本）、授权委托书、项目负责人身份证复印件；</w:t>
      </w:r>
    </w:p>
    <w:p w14:paraId="790B3EE5">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商务报价表（需注明材料品牌、规格型号及单价构成）；</w:t>
      </w:r>
    </w:p>
    <w:p w14:paraId="606EC138">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eastAsia" w:ascii="宋体" w:hAnsi="宋体" w:eastAsia="宋体" w:cs="宋体"/>
          <w:color w:val="auto"/>
          <w:sz w:val="28"/>
          <w:szCs w:val="28"/>
          <w:lang w:val="en-US" w:eastAsia="zh-CN"/>
        </w:rPr>
        <w:t>企业信用证明【国家企业信用信息公示系统（导出的 PDF 打印版）、信用中国（导出的 PDF 打印版）、中国执行信息公开网截图】；</w:t>
      </w:r>
    </w:p>
    <w:p w14:paraId="5DAE6024">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《现场踏勘确认表》；</w:t>
      </w:r>
    </w:p>
    <w:p w14:paraId="7608DFAB">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5.</w:t>
      </w:r>
      <w:r>
        <w:rPr>
          <w:rFonts w:hint="eastAsia" w:ascii="宋体" w:hAnsi="宋体" w:eastAsia="宋体" w:cs="宋体"/>
          <w:color w:val="auto"/>
          <w:sz w:val="28"/>
          <w:szCs w:val="28"/>
          <w:lang w:val="en-US" w:eastAsia="zh-CN"/>
        </w:rPr>
        <w:t>施工技术方案（含材料说明、施工流程、质量控制措施）；</w:t>
      </w:r>
    </w:p>
    <w:p w14:paraId="6E8373C5">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施工组织方案（含人员配置、设备清单、进度计划）；</w:t>
      </w:r>
    </w:p>
    <w:p w14:paraId="6642ABFE">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服务承诺方案（格式自拟）。</w:t>
      </w:r>
    </w:p>
    <w:p w14:paraId="5884EC44">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五、磋商文件获取及响应文件递交</w:t>
      </w:r>
    </w:p>
    <w:p w14:paraId="5C80A030">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获取与截至时间：</w:t>
      </w: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7月</w:t>
      </w:r>
      <w:r>
        <w:rPr>
          <w:rFonts w:hint="eastAsia" w:ascii="宋体" w:hAnsi="宋体" w:cs="宋体"/>
          <w:color w:val="auto"/>
          <w:sz w:val="28"/>
          <w:szCs w:val="28"/>
          <w:lang w:val="en-US" w:eastAsia="zh-CN"/>
        </w:rPr>
        <w:t>17</w:t>
      </w:r>
      <w:r>
        <w:rPr>
          <w:rFonts w:hint="eastAsia" w:ascii="宋体" w:hAnsi="宋体" w:eastAsia="宋体" w:cs="宋体"/>
          <w:color w:val="auto"/>
          <w:sz w:val="28"/>
          <w:szCs w:val="28"/>
          <w:lang w:eastAsia="zh-CN"/>
        </w:rPr>
        <w:t>日至</w:t>
      </w: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7月</w:t>
      </w:r>
      <w:r>
        <w:rPr>
          <w:rFonts w:hint="eastAsia" w:ascii="宋体" w:hAnsi="宋体" w:cs="宋体"/>
          <w:color w:val="auto"/>
          <w:sz w:val="28"/>
          <w:szCs w:val="28"/>
          <w:lang w:val="en-US" w:eastAsia="zh-CN"/>
        </w:rPr>
        <w:t>23</w:t>
      </w:r>
      <w:r>
        <w:rPr>
          <w:rFonts w:hint="eastAsia" w:ascii="宋体" w:hAnsi="宋体" w:eastAsia="宋体" w:cs="宋体"/>
          <w:color w:val="auto"/>
          <w:sz w:val="28"/>
          <w:szCs w:val="28"/>
          <w:lang w:eastAsia="zh-CN"/>
        </w:rPr>
        <w:t>日（工作日 8:30-12:00，15:00-17:30）</w:t>
      </w:r>
    </w:p>
    <w:p w14:paraId="716C5624">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地点：线上公告附件自行下载。</w:t>
      </w:r>
    </w:p>
    <w:p w14:paraId="78CA6DD0">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费用：免费下载，报名时需提交加盖公章的营业执照副本复印件、报名表以及法定代表人授权委托书、资质证明等材料。</w:t>
      </w:r>
    </w:p>
    <w:p w14:paraId="7C1CEFBE">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线上报名：报名文件发送至邮箱：</w:t>
      </w:r>
      <w:r>
        <w:rPr>
          <w:rFonts w:hint="eastAsia" w:ascii="宋体" w:hAnsi="宋体" w:eastAsia="宋体" w:cs="宋体"/>
          <w:color w:val="auto"/>
          <w:sz w:val="28"/>
          <w:szCs w:val="28"/>
          <w:lang w:val="en-US" w:eastAsia="zh-CN"/>
        </w:rPr>
        <w:t>251032761@qq.com</w:t>
      </w:r>
      <w:r>
        <w:rPr>
          <w:rFonts w:hint="eastAsia" w:ascii="宋体" w:hAnsi="宋体" w:eastAsia="宋体" w:cs="宋体"/>
          <w:color w:val="auto"/>
          <w:sz w:val="28"/>
          <w:szCs w:val="28"/>
          <w:lang w:eastAsia="zh-CN"/>
        </w:rPr>
        <w:t>或微信提交报名资料：</w:t>
      </w:r>
      <w:r>
        <w:rPr>
          <w:rFonts w:hint="eastAsia" w:ascii="宋体" w:hAnsi="宋体" w:eastAsia="宋体" w:cs="宋体"/>
          <w:color w:val="auto"/>
          <w:sz w:val="28"/>
          <w:szCs w:val="28"/>
          <w:lang w:val="en-US" w:eastAsia="zh-CN"/>
        </w:rPr>
        <w:t>13768228700万</w:t>
      </w:r>
      <w:r>
        <w:rPr>
          <w:rFonts w:hint="eastAsia" w:ascii="宋体" w:hAnsi="宋体" w:cs="宋体"/>
          <w:color w:val="auto"/>
          <w:sz w:val="28"/>
          <w:szCs w:val="28"/>
          <w:lang w:val="en-US" w:eastAsia="zh-CN"/>
        </w:rPr>
        <w:t>先生</w:t>
      </w:r>
      <w:r>
        <w:rPr>
          <w:rFonts w:hint="eastAsia" w:ascii="宋体" w:hAnsi="宋体" w:eastAsia="宋体" w:cs="宋体"/>
          <w:color w:val="auto"/>
          <w:sz w:val="28"/>
          <w:szCs w:val="28"/>
          <w:lang w:val="en-US" w:eastAsia="zh-CN"/>
        </w:rPr>
        <w:t>。</w:t>
      </w:r>
    </w:p>
    <w:p w14:paraId="187A6024">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项目咨询：项目办蓝先生13597215165</w:t>
      </w:r>
    </w:p>
    <w:p w14:paraId="4DA47009">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现场磋商：在现场磋商环节，投标人可使用 U 盘上传 PPT 进行宣讲，做项目介绍，阐述自身优势，并解答评委相关疑问。</w:t>
      </w:r>
    </w:p>
    <w:p w14:paraId="4483C9ED">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六、磋商与开标</w:t>
      </w:r>
    </w:p>
    <w:p w14:paraId="1A8EC50A">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递交投标文件时间：</w:t>
      </w: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7月</w:t>
      </w:r>
      <w:r>
        <w:rPr>
          <w:rFonts w:hint="eastAsia" w:ascii="宋体" w:hAnsi="宋体" w:cs="宋体"/>
          <w:color w:val="auto"/>
          <w:sz w:val="28"/>
          <w:szCs w:val="28"/>
          <w:lang w:val="en-US" w:eastAsia="zh-CN"/>
        </w:rPr>
        <w:t>24</w:t>
      </w:r>
      <w:r>
        <w:rPr>
          <w:rFonts w:hint="eastAsia" w:ascii="宋体" w:hAnsi="宋体" w:eastAsia="宋体" w:cs="宋体"/>
          <w:color w:val="auto"/>
          <w:sz w:val="28"/>
          <w:szCs w:val="28"/>
          <w:lang w:eastAsia="zh-CN"/>
        </w:rPr>
        <w:t>日上午 09:30-10:00</w:t>
      </w:r>
    </w:p>
    <w:p w14:paraId="3B988BF2">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磋商会议时间：</w:t>
      </w: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7月</w:t>
      </w:r>
      <w:r>
        <w:rPr>
          <w:rFonts w:hint="eastAsia" w:ascii="宋体" w:hAnsi="宋体" w:cs="宋体"/>
          <w:color w:val="auto"/>
          <w:sz w:val="28"/>
          <w:szCs w:val="28"/>
          <w:lang w:val="en-US" w:eastAsia="zh-CN"/>
        </w:rPr>
        <w:t>24</w:t>
      </w:r>
      <w:r>
        <w:rPr>
          <w:rFonts w:hint="eastAsia" w:ascii="宋体" w:hAnsi="宋体" w:eastAsia="宋体" w:cs="宋体"/>
          <w:color w:val="auto"/>
          <w:sz w:val="28"/>
          <w:szCs w:val="28"/>
          <w:lang w:eastAsia="zh-CN"/>
        </w:rPr>
        <w:t>日上午 10:00</w:t>
      </w:r>
    </w:p>
    <w:p w14:paraId="32C896DE">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地点：融水苗族自治县人民医院 5 号楼 4 楼一体化会议室</w:t>
      </w:r>
    </w:p>
    <w:p w14:paraId="649CF39F">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方式：综合评分法（价格分 30 + 技术分 4</w:t>
      </w:r>
      <w:r>
        <w:rPr>
          <w:rFonts w:hint="eastAsia" w:ascii="宋体" w:hAnsi="宋体" w:cs="宋体"/>
          <w:color w:val="auto"/>
          <w:sz w:val="28"/>
          <w:szCs w:val="28"/>
          <w:lang w:val="en-US" w:eastAsia="zh-CN"/>
        </w:rPr>
        <w:t>5</w:t>
      </w:r>
      <w:r>
        <w:rPr>
          <w:rFonts w:hint="eastAsia" w:ascii="宋体" w:hAnsi="宋体" w:eastAsia="宋体" w:cs="宋体"/>
          <w:color w:val="auto"/>
          <w:sz w:val="28"/>
          <w:szCs w:val="28"/>
          <w:lang w:eastAsia="zh-CN"/>
        </w:rPr>
        <w:t xml:space="preserve"> + 商务分 </w:t>
      </w:r>
      <w:r>
        <w:rPr>
          <w:rFonts w:hint="eastAsia" w:ascii="宋体" w:hAnsi="宋体" w:cs="宋体"/>
          <w:color w:val="auto"/>
          <w:sz w:val="28"/>
          <w:szCs w:val="28"/>
          <w:lang w:val="en-US" w:eastAsia="zh-CN"/>
        </w:rPr>
        <w:t>25</w:t>
      </w:r>
      <w:r>
        <w:rPr>
          <w:rFonts w:hint="eastAsia" w:ascii="宋体" w:hAnsi="宋体" w:eastAsia="宋体" w:cs="宋体"/>
          <w:color w:val="auto"/>
          <w:sz w:val="28"/>
          <w:szCs w:val="28"/>
          <w:lang w:eastAsia="zh-CN"/>
        </w:rPr>
        <w:t>，满分 100 分，详见附件：竞争性磋商评分表）。</w:t>
      </w:r>
    </w:p>
    <w:p w14:paraId="7FDB733F">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七、发布媒介</w:t>
      </w:r>
    </w:p>
    <w:p w14:paraId="44BE63B4">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本公告同步发布于融水苗族自治县人民医院官方网站、融水苗族自治县人民医院公众号等。</w:t>
      </w:r>
    </w:p>
    <w:p w14:paraId="46B4F71C">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p>
    <w:p w14:paraId="744706FF">
      <w:pPr>
        <w:keepNext w:val="0"/>
        <w:keepLines w:val="0"/>
        <w:pageBreakBefore w:val="0"/>
        <w:widowControl/>
        <w:kinsoku/>
        <w:wordWrap/>
        <w:overflowPunct/>
        <w:topLinePunct w:val="0"/>
        <w:autoSpaceDE/>
        <w:autoSpaceDN/>
        <w:bidi w:val="0"/>
        <w:adjustRightInd/>
        <w:snapToGrid/>
        <w:spacing w:line="420" w:lineRule="exact"/>
        <w:jc w:val="right"/>
        <w:textAlignment w:val="auto"/>
        <w:rPr>
          <w:rFonts w:hint="eastAsia" w:ascii="宋体" w:hAnsi="宋体" w:eastAsia="宋体" w:cs="宋体"/>
          <w:sz w:val="28"/>
          <w:szCs w:val="28"/>
        </w:rPr>
      </w:pPr>
      <w:r>
        <w:rPr>
          <w:rFonts w:hint="eastAsia" w:ascii="宋体" w:hAnsi="宋体" w:eastAsia="宋体" w:cs="宋体"/>
          <w:sz w:val="28"/>
          <w:szCs w:val="28"/>
          <w:lang w:eastAsia="zh-CN"/>
        </w:rPr>
        <w:t>融水苗族自治县人民医院</w:t>
      </w:r>
      <w:r>
        <w:rPr>
          <w:rFonts w:hint="eastAsia" w:ascii="宋体" w:hAnsi="宋体" w:eastAsia="宋体" w:cs="宋体"/>
          <w:sz w:val="28"/>
          <w:szCs w:val="28"/>
        </w:rPr>
        <w:t xml:space="preserve">     </w:t>
      </w:r>
    </w:p>
    <w:p w14:paraId="0815BCBF">
      <w:pPr>
        <w:keepNext w:val="0"/>
        <w:keepLines w:val="0"/>
        <w:pageBreakBefore w:val="0"/>
        <w:kinsoku/>
        <w:wordWrap/>
        <w:overflowPunct/>
        <w:topLinePunct w:val="0"/>
        <w:autoSpaceDE/>
        <w:autoSpaceDN/>
        <w:bidi w:val="0"/>
        <w:adjustRightInd/>
        <w:snapToGrid/>
        <w:spacing w:line="420" w:lineRule="exact"/>
        <w:jc w:val="right"/>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rPr>
        <w:t>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0</w:t>
      </w:r>
      <w:r>
        <w:rPr>
          <w:rFonts w:hint="eastAsia" w:ascii="宋体" w:hAnsi="宋体" w:cs="宋体"/>
          <w:color w:val="auto"/>
          <w:sz w:val="28"/>
          <w:szCs w:val="28"/>
          <w:lang w:val="en-US" w:eastAsia="zh-CN"/>
        </w:rPr>
        <w:t>7</w:t>
      </w:r>
      <w:r>
        <w:rPr>
          <w:rFonts w:hint="eastAsia" w:ascii="宋体" w:hAnsi="宋体" w:eastAsia="宋体" w:cs="宋体"/>
          <w:color w:val="auto"/>
          <w:sz w:val="28"/>
          <w:szCs w:val="28"/>
        </w:rPr>
        <w:t>月</w:t>
      </w:r>
      <w:r>
        <w:rPr>
          <w:rFonts w:hint="eastAsia" w:ascii="宋体" w:hAnsi="宋体" w:cs="宋体"/>
          <w:color w:val="auto"/>
          <w:sz w:val="28"/>
          <w:szCs w:val="28"/>
          <w:lang w:val="en-US" w:eastAsia="zh-CN"/>
        </w:rPr>
        <w:t>17</w:t>
      </w:r>
      <w:r>
        <w:rPr>
          <w:rFonts w:hint="eastAsia" w:ascii="宋体" w:hAnsi="宋体" w:eastAsia="宋体" w:cs="宋体"/>
          <w:color w:val="auto"/>
          <w:sz w:val="28"/>
          <w:szCs w:val="28"/>
        </w:rPr>
        <w:t>日</w:t>
      </w:r>
      <w:bookmarkEnd w:id="4"/>
      <w:bookmarkEnd w:id="5"/>
      <w:bookmarkStart w:id="6" w:name="_Toc6918"/>
      <w:bookmarkStart w:id="7" w:name="_Toc26161"/>
    </w:p>
    <w:p w14:paraId="1485FCFA">
      <w:pPr>
        <w:rPr>
          <w:rFonts w:hint="eastAsia"/>
          <w:lang w:val="en-US" w:eastAsia="zh-CN"/>
        </w:rPr>
      </w:pPr>
    </w:p>
    <w:p w14:paraId="068975C2">
      <w:pPr>
        <w:rPr>
          <w:rFonts w:hint="eastAsia"/>
          <w:lang w:val="en-US" w:eastAsia="zh-CN"/>
        </w:rPr>
      </w:pPr>
    </w:p>
    <w:p w14:paraId="4FF337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5E11FE2">
      <w:pPr>
        <w:rPr>
          <w:rFonts w:hint="eastAsia"/>
          <w:lang w:val="en-US" w:eastAsia="zh-CN"/>
        </w:rPr>
      </w:pPr>
    </w:p>
    <w:p w14:paraId="080A6221">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4CDAE98E">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1C8C1487">
      <w:pPr>
        <w:rPr>
          <w:rFonts w:hint="eastAsia"/>
          <w:lang w:val="en-US" w:eastAsia="zh-CN"/>
        </w:rPr>
      </w:pPr>
    </w:p>
    <w:p w14:paraId="544A924E">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项目需求</w:t>
      </w:r>
    </w:p>
    <w:p w14:paraId="2D9B77AC">
      <w:pPr>
        <w:jc w:val="center"/>
        <w:rPr>
          <w:rFonts w:hint="eastAsia" w:ascii="宋体" w:hAnsi="宋体" w:eastAsia="宋体" w:cs="宋体"/>
          <w:b/>
          <w:bCs/>
          <w:i w:val="0"/>
          <w:iCs w:val="0"/>
          <w:caps w:val="0"/>
          <w:color w:val="000000"/>
          <w:spacing w:val="0"/>
          <w:kern w:val="44"/>
          <w:sz w:val="39"/>
          <w:szCs w:val="39"/>
          <w:shd w:val="clear" w:fill="FFFFFF"/>
          <w:lang w:val="en-US" w:eastAsia="zh-CN" w:bidi="ar-SA"/>
        </w:rPr>
      </w:pPr>
      <w:r>
        <w:rPr>
          <w:rFonts w:hint="eastAsia" w:ascii="宋体" w:hAnsi="宋体" w:eastAsia="宋体" w:cs="宋体"/>
          <w:b/>
          <w:bCs/>
          <w:i w:val="0"/>
          <w:iCs w:val="0"/>
          <w:caps w:val="0"/>
          <w:color w:val="000000"/>
          <w:spacing w:val="0"/>
          <w:kern w:val="44"/>
          <w:sz w:val="39"/>
          <w:szCs w:val="39"/>
          <w:shd w:val="clear" w:fill="FFFFFF"/>
          <w:lang w:val="en-US" w:eastAsia="zh-CN" w:bidi="ar-SA"/>
        </w:rPr>
        <w:t>融水苗族自治县人民医院 3 号楼新增不锈钢骨架耐力板面层雨棚采购项目需求</w:t>
      </w:r>
    </w:p>
    <w:p w14:paraId="266B567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一、项目概况</w:t>
      </w:r>
    </w:p>
    <w:p w14:paraId="3914A87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项目名称：融水苗族自治县人民医院 3 号楼新增不锈钢骨架耐力板面层雨棚采购项目</w:t>
      </w:r>
    </w:p>
    <w:p w14:paraId="5580E1D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项目地点：融水苗族自治县人民医院 3 号楼主楼指定区域</w:t>
      </w:r>
    </w:p>
    <w:p w14:paraId="7BB2E84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项目目标：在 3 号楼主楼指定区域建设不锈钢骨架耐力板面层雨棚，完善医院基础设施，为患者和医护人员提供安全、舒适的通行环境，满足医院日常运营和发展需求。</w:t>
      </w:r>
    </w:p>
    <w:p w14:paraId="5BF0CA0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二、具体建设内容及技术要求</w:t>
      </w:r>
    </w:p>
    <w:p w14:paraId="7B45D26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（一）采光天棚</w:t>
      </w:r>
    </w:p>
    <w:p w14:paraId="33B2FB9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304 不锈钢骨架</w:t>
      </w:r>
    </w:p>
    <w:p w14:paraId="5094FE4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规格型号：采用 40x60x20 规格的 304 不锈钢。材质需符合 GB/T 14976 - 2012 标准，具备良好的抗腐蚀、耐候性能，供应商应提供材质证明及检测报告。</w:t>
      </w:r>
    </w:p>
    <w:p w14:paraId="3796BE0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数量：约 600 米（按实际工程量结算）。</w:t>
      </w:r>
    </w:p>
    <w:p w14:paraId="70A0C4E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制作安装要求：骨架焊接牢固，焊缝应饱满、平整，焊点需做抛光防锈处理。整体结构承重需符合设计规范，挠度控制在允许范围内，骨架安装垂直度、平整度偏差符合行业标准。</w:t>
      </w:r>
    </w:p>
    <w:p w14:paraId="04AD915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透明耐力板</w:t>
      </w:r>
    </w:p>
    <w:p w14:paraId="2749554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规格型号：厚度 3mm 的透明耐力板。需具备高透光性（透光率≥85%）、抗冲击性（抗冲击强度≥60kJ/㎡）及防紫外线性能，供应商应提供产品合格证明及性能检测报告。</w:t>
      </w:r>
    </w:p>
    <w:p w14:paraId="41C8012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数量：约 195㎡（按实际工程量结算）。</w:t>
      </w:r>
    </w:p>
    <w:p w14:paraId="20452BB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铺设要求：耐力板铺设平整，板间预留合理伸缩缝，采用专用密封胶密封，边缘进行包边处理，确保防水、防渗漏，安装牢固无松动。</w:t>
      </w:r>
    </w:p>
    <w:p w14:paraId="7A6BD85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（二）建筑装饰人工</w:t>
      </w:r>
    </w:p>
    <w:p w14:paraId="28046B6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val="en-US" w:eastAsia="zh-CN"/>
        </w:rPr>
        <w:t>涵盖现场所有建筑装饰相关人工工作，包括但不限于测量放线、材料加工、安装施工、质量检测等环节。施工人员需具备相应的专业技能和经验，严格按照施工工艺和质量标准进行操作。</w:t>
      </w:r>
    </w:p>
    <w:p w14:paraId="0E14E5F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（三）辅材及配件</w:t>
      </w:r>
    </w:p>
    <w:p w14:paraId="08511E0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结构胶</w:t>
      </w:r>
    </w:p>
    <w:p w14:paraId="4170438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规格型号：采用中性硅酮结构胶，需具备耐候性、防水性，符合 GB 16776 - 2005 标准。</w:t>
      </w:r>
    </w:p>
    <w:p w14:paraId="0E0DBF5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数量：根据实际施工需求确定。</w:t>
      </w:r>
    </w:p>
    <w:p w14:paraId="264A56B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施工要求：胶缝均匀、连续、光滑，无气泡、断缝，确保密封效果，与耐力板、骨架贴合紧密。</w:t>
      </w:r>
    </w:p>
    <w:p w14:paraId="1F3E01C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龙骨配件</w:t>
      </w:r>
    </w:p>
    <w:p w14:paraId="4D33899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规格型号：不锈钢材质连接件，表面镀锌处理。</w:t>
      </w:r>
    </w:p>
    <w:p w14:paraId="6A562EC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数量：根据实际施工需求确定。</w:t>
      </w:r>
    </w:p>
    <w:p w14:paraId="06D8CF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施工要求：安装牢固，所有紧固件需做防松处理，外露部分进行美观处理，确保与骨架适配。</w:t>
      </w:r>
    </w:p>
    <w:p w14:paraId="3039C1D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不锈水槽</w:t>
      </w:r>
    </w:p>
    <w:p w14:paraId="288594A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规格型号：304 不锈钢材质，厚度≥1.5mm，宽度≥200mm。</w:t>
      </w:r>
    </w:p>
    <w:p w14:paraId="1D68AED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数量：约 15 米（按实际工程量结算）。</w:t>
      </w:r>
    </w:p>
    <w:p w14:paraId="467BF43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安装要求：安装坡度≥2%，排水通畅，与雨棚连接密封，确保雨水能够顺利收集和排放。</w:t>
      </w:r>
    </w:p>
    <w:p w14:paraId="28FF0B6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PVC110 排水管</w:t>
      </w:r>
    </w:p>
    <w:p w14:paraId="6C42161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规格型号：符合 GB/T 5836.1 - 2018 标准，壁厚≥3.2mm。</w:t>
      </w:r>
    </w:p>
    <w:p w14:paraId="5FAD725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数量：约 50 米（按实际工程量结算）。</w:t>
      </w:r>
    </w:p>
    <w:p w14:paraId="61D30B1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安装要求：管道走向合理，固定牢固，排水口远离行人通道，确保排水顺畅且不影响行人通行。</w:t>
      </w:r>
    </w:p>
    <w:p w14:paraId="58D796D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（四）实腹钢柱相关工程</w:t>
      </w:r>
    </w:p>
    <w:p w14:paraId="342B1FE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实腹钢柱制作安装</w:t>
      </w:r>
    </w:p>
    <w:p w14:paraId="4BCAE22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规格型号：柱类型为正多边形 200</w:t>
      </w:r>
      <w:r>
        <w:rPr>
          <w:rFonts w:hint="eastAsia" w:ascii="宋体" w:hAnsi="宋体" w:cs="宋体"/>
          <w:color w:val="auto"/>
          <w:sz w:val="28"/>
          <w:szCs w:val="28"/>
          <w:lang w:val="en-US" w:eastAsia="zh-CN"/>
        </w:rPr>
        <w:t>*</w:t>
      </w:r>
      <w:r>
        <w:rPr>
          <w:rFonts w:hint="default" w:ascii="宋体" w:hAnsi="宋体" w:eastAsia="宋体" w:cs="宋体"/>
          <w:color w:val="auto"/>
          <w:sz w:val="28"/>
          <w:szCs w:val="28"/>
          <w:lang w:eastAsia="zh-CN"/>
        </w:rPr>
        <w:t>200</w:t>
      </w:r>
      <w:r>
        <w:rPr>
          <w:rFonts w:hint="eastAsia" w:ascii="宋体" w:hAnsi="宋体" w:cs="宋体"/>
          <w:color w:val="auto"/>
          <w:sz w:val="28"/>
          <w:szCs w:val="28"/>
          <w:lang w:val="en-US" w:eastAsia="zh-CN"/>
        </w:rPr>
        <w:t>*</w:t>
      </w:r>
      <w:r>
        <w:rPr>
          <w:rFonts w:hint="default" w:ascii="宋体" w:hAnsi="宋体" w:eastAsia="宋体" w:cs="宋体"/>
          <w:color w:val="auto"/>
          <w:sz w:val="28"/>
          <w:szCs w:val="28"/>
          <w:lang w:eastAsia="zh-CN"/>
        </w:rPr>
        <w:t>3，钢材品种、规格为普通钢板加工。</w:t>
      </w:r>
    </w:p>
    <w:p w14:paraId="7204FBA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数量：约 0.844t（按实际工程量结算）。</w:t>
      </w:r>
    </w:p>
    <w:p w14:paraId="7688022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制作安装要求：严格按照设计要求进行制作和安装，确保尺寸精度和结构稳定性。除锈后做白色喷漆处理，喷漆应均匀、无流坠、无漏喷现象。</w:t>
      </w:r>
    </w:p>
    <w:p w14:paraId="523807E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钢柱制作、安装及相关处理</w:t>
      </w:r>
    </w:p>
    <w:p w14:paraId="2F7D042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组合型钢柱制作 3t 以内：按对应工艺及要求制作，确保钢柱的强度和质量。</w:t>
      </w:r>
    </w:p>
    <w:p w14:paraId="4F72CDC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钢柱安装 3t 以内：专业安装施工，保证钢柱安装的垂直度和稳定性。</w:t>
      </w:r>
    </w:p>
    <w:p w14:paraId="5B0AD77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钢结构喷河砂除锈：达到除锈标准要求，去除钢材表面的氧化皮、铁锈等杂质。</w:t>
      </w:r>
    </w:p>
    <w:p w14:paraId="03EB025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红丹防锈漆 金属面 一遍、酚醛防锈漆 金属面 一遍：做好防锈处理工序，进一步增强钢柱的防锈能力。</w:t>
      </w:r>
    </w:p>
    <w:p w14:paraId="6A832FE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1 类金属结构构件运输（运距 1km 以内，实际运距 = 10）：含运输费用及相关操作，确保钢柱在运输过程中不受损坏。</w:t>
      </w:r>
    </w:p>
    <w:p w14:paraId="1407371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（五）铁件工程</w:t>
      </w:r>
    </w:p>
    <w:p w14:paraId="20B273B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预埋铁件</w:t>
      </w:r>
    </w:p>
    <w:p w14:paraId="0099C88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规格型号：根据实际设计要求确定。</w:t>
      </w:r>
    </w:p>
    <w:p w14:paraId="60CC154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数量：约 0.100t（按实际工程量结算）。</w:t>
      </w:r>
    </w:p>
    <w:p w14:paraId="222BE97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施工要求：准确预埋，位置偏差符合设计和规范要求，用于固定相关结构。</w:t>
      </w:r>
    </w:p>
    <w:p w14:paraId="7E52770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一般铁件</w:t>
      </w:r>
    </w:p>
    <w:p w14:paraId="45620AD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规格型号：根据实际需求确定。</w:t>
      </w:r>
    </w:p>
    <w:p w14:paraId="36092FF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数量：约 0.250t（按实际工程量结算）。</w:t>
      </w:r>
    </w:p>
    <w:p w14:paraId="7258FD7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施工要求：满足项目其他铁件需求，保证质量和尺寸精度。</w:t>
      </w:r>
    </w:p>
    <w:p w14:paraId="2418C18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（六）其他要求</w:t>
      </w:r>
    </w:p>
    <w:p w14:paraId="69685CD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所有材料进场前需经采购人检验确认，提供产品合格证明、检测报告等相关资料，不符合要求的材料不得使用。</w:t>
      </w:r>
    </w:p>
    <w:p w14:paraId="15D171B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施工过程中应遵守医院相关管理规定，合理安排施工时间，减少对正常医疗秩序的影响。设置安全警示标识，做好安全防护措施，确保施工安全，避免发生安全事故，承担施工过程中的一切安全责任。</w:t>
      </w:r>
    </w:p>
    <w:p w14:paraId="2B8C554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供应商应及时清理施工过程中产生的建筑垃圾，工程完工后做到工完场清，确保施工区域整洁。</w:t>
      </w:r>
    </w:p>
    <w:p w14:paraId="21C1D99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三、服务要求</w:t>
      </w:r>
    </w:p>
    <w:p w14:paraId="5B1AC8E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工期要求：自合同签订之日起 20 个日历日内完成全部工程内容并通过验收。若因供应商原因导致工期延误，每延误一天，应按照合同总价的一定比例（如 0.5%）向采购人支付违约金。</w:t>
      </w:r>
    </w:p>
    <w:p w14:paraId="63E620B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质量保证：工程质量需符合国家及行业相关质量验收标准，一次性验收合格。所有工程及材料保修期不少于 1 年，保修期内出现质量问题，供应商需在接到通知后 24 小时内到场免费维修。若在保修期内出现重大质量问题，供应商应承担相应的赔偿责任。</w:t>
      </w:r>
    </w:p>
    <w:p w14:paraId="0C99E5E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验收要求：工程完工后，供应商需提交完整的验收申请及相关资料，包括但不限于材料质量证明、施工记录、检测报告等。采购人组织验收，验收合格后签署验收报告；验收不合格的，供应商需按要求立即整改，直至验收合格，由此产生的费用由供应商承担。</w:t>
      </w:r>
    </w:p>
    <w:p w14:paraId="6E8E10C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p>
    <w:p w14:paraId="6DA28B51">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p>
    <w:p w14:paraId="239CCEB0">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p>
    <w:p w14:paraId="0A3128F5">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p>
    <w:p w14:paraId="60157AD5">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p>
    <w:p w14:paraId="0B6BA258">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val="en-US" w:eastAsia="zh-CN"/>
        </w:rPr>
      </w:pPr>
    </w:p>
    <w:p w14:paraId="4664A349">
      <w:pPr>
        <w:rPr>
          <w:rFonts w:hint="eastAsia" w:ascii="宋体" w:hAnsi="宋体" w:eastAsia="宋体" w:cs="宋体"/>
          <w:sz w:val="32"/>
          <w:szCs w:val="32"/>
          <w:lang w:val="en-US" w:eastAsia="zh-CN"/>
        </w:rPr>
      </w:pPr>
    </w:p>
    <w:p w14:paraId="42F3E1CE">
      <w:pPr>
        <w:rPr>
          <w:rFonts w:hint="eastAsia" w:ascii="宋体" w:hAnsi="宋体" w:eastAsia="宋体" w:cs="宋体"/>
          <w:sz w:val="32"/>
          <w:szCs w:val="32"/>
          <w:lang w:val="en-US" w:eastAsia="zh-CN"/>
        </w:rPr>
      </w:pPr>
    </w:p>
    <w:p w14:paraId="40897F83">
      <w:pPr>
        <w:rPr>
          <w:rFonts w:hint="eastAsia"/>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6"/>
      <w:bookmarkEnd w:id="7"/>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0A18982">
      <w:pPr>
        <w:snapToGrid w:val="0"/>
        <w:spacing w:line="360" w:lineRule="auto"/>
        <w:ind w:firstLine="64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融水苗族自治县人民医院3号楼新增不锈钢骨架耐力板面层雨棚采购项目</w:t>
      </w:r>
    </w:p>
    <w:p w14:paraId="3CFFE815">
      <w:pPr>
        <w:snapToGrid w:val="0"/>
        <w:spacing w:line="360" w:lineRule="auto"/>
        <w:rPr>
          <w:rFonts w:hint="eastAsia" w:ascii="宋体" w:hAnsi="宋体" w:eastAsia="宋体" w:cs="宋体"/>
          <w:color w:val="auto"/>
          <w:sz w:val="32"/>
          <w:szCs w:val="32"/>
          <w:lang w:val="en-US" w:eastAsia="zh-CN"/>
        </w:rPr>
      </w:pP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w:t>
      </w:r>
      <w:r>
        <w:rPr>
          <w:rFonts w:hint="eastAsia" w:ascii="宋体" w:hAnsi="宋体" w:cs="宋体"/>
          <w:color w:val="auto"/>
          <w:sz w:val="32"/>
          <w:szCs w:val="32"/>
          <w:lang w:val="en-US" w:eastAsia="zh-CN"/>
        </w:rPr>
        <w:t>42</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9" w:name="_Toc30548"/>
      <w:r>
        <w:rPr>
          <w:rFonts w:hint="eastAsia" w:ascii="宋体" w:hAnsi="宋体" w:eastAsia="宋体" w:cs="宋体"/>
          <w:lang w:val="en-US" w:eastAsia="zh-CN"/>
        </w:rPr>
        <w:t>第二节  供应商响应性承诺书</w:t>
      </w:r>
      <w:bookmarkEnd w:id="9"/>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5" w:name="_Toc19121"/>
      <w:bookmarkStart w:id="16" w:name="_Toc10739"/>
      <w:r>
        <w:rPr>
          <w:rFonts w:hint="eastAsia" w:ascii="宋体" w:hAnsi="宋体" w:eastAsia="宋体" w:cs="宋体"/>
          <w:sz w:val="32"/>
          <w:szCs w:val="32"/>
          <w:lang w:val="en-US" w:eastAsia="zh-CN"/>
        </w:rPr>
        <w:t>第八节  报价表</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2"/>
          <w:szCs w:val="32"/>
          <w:shd w:val="clear" w:fill="FFFFFF"/>
          <w:lang w:val="en-US"/>
        </w:rPr>
      </w:pPr>
      <w:r>
        <w:rPr>
          <w:rFonts w:hint="eastAsia" w:eastAsia="宋体"/>
          <w:b/>
          <w:bCs/>
          <w:sz w:val="40"/>
          <w:szCs w:val="40"/>
          <w:lang w:val="en-US" w:eastAsia="zh-CN"/>
        </w:rPr>
        <w:t>融水苗族自治县人民医院3号楼新增不锈钢骨架耐力板面层雨棚采购项目</w:t>
      </w:r>
      <w:r>
        <w:rPr>
          <w:rFonts w:hint="default" w:eastAsia="宋体"/>
          <w:b/>
          <w:bCs/>
          <w:sz w:val="40"/>
          <w:szCs w:val="40"/>
          <w:lang w:val="en-US" w:eastAsia="zh-CN"/>
        </w:rPr>
        <w:t>报价表</w:t>
      </w:r>
    </w:p>
    <w:p w14:paraId="67A9785B">
      <w:pPr>
        <w:ind w:firstLine="1100" w:firstLineChars="500"/>
        <w:jc w:val="both"/>
        <w:rPr>
          <w:rFonts w:hint="eastAsia"/>
          <w:sz w:val="22"/>
          <w:szCs w:val="28"/>
          <w:lang w:val="en-US" w:eastAsia="zh-CN"/>
        </w:rPr>
      </w:pPr>
    </w:p>
    <w:p w14:paraId="3C7307AE">
      <w:pPr>
        <w:ind w:firstLine="1100" w:firstLineChars="500"/>
        <w:jc w:val="both"/>
        <w:rPr>
          <w:rFonts w:hint="default" w:eastAsia="宋体"/>
          <w:sz w:val="22"/>
          <w:szCs w:val="28"/>
          <w:u w:val="single"/>
          <w:lang w:val="en-US" w:eastAsia="zh-CN"/>
        </w:rPr>
      </w:pPr>
      <w:r>
        <w:rPr>
          <w:rFonts w:hint="eastAsia"/>
          <w:sz w:val="22"/>
          <w:szCs w:val="28"/>
          <w:lang w:val="en-US" w:eastAsia="zh-CN"/>
        </w:rPr>
        <w:t>报价</w:t>
      </w:r>
      <w:r>
        <w:rPr>
          <w:rFonts w:hint="default"/>
          <w:sz w:val="22"/>
          <w:szCs w:val="28"/>
          <w:lang w:val="en-US"/>
        </w:rPr>
        <w:t>单位</w:t>
      </w:r>
      <w:r>
        <w:rPr>
          <w:rFonts w:hint="eastAsia"/>
          <w:sz w:val="22"/>
          <w:szCs w:val="28"/>
          <w:lang w:val="en-US" w:eastAsia="zh-CN"/>
        </w:rPr>
        <w:t>（盖章）</w:t>
      </w:r>
      <w:r>
        <w:rPr>
          <w:rFonts w:hint="default"/>
          <w:sz w:val="22"/>
          <w:szCs w:val="28"/>
          <w:lang w:val="en-US"/>
        </w:rPr>
        <w:t>：</w:t>
      </w:r>
      <w:r>
        <w:rPr>
          <w:rFonts w:hint="eastAsia"/>
          <w:sz w:val="22"/>
          <w:szCs w:val="28"/>
          <w:u w:val="single"/>
          <w:lang w:val="en-US" w:eastAsia="zh-CN"/>
        </w:rPr>
        <w:t xml:space="preserve">             </w:t>
      </w:r>
      <w:r>
        <w:rPr>
          <w:rFonts w:hint="default"/>
          <w:sz w:val="22"/>
          <w:szCs w:val="28"/>
          <w:u w:val="single"/>
          <w:lang w:val="en-US"/>
        </w:rPr>
        <w:t xml:space="preserve">    </w:t>
      </w:r>
      <w:r>
        <w:rPr>
          <w:rFonts w:hint="eastAsia"/>
          <w:sz w:val="22"/>
          <w:szCs w:val="28"/>
          <w:lang w:val="en-US" w:eastAsia="zh-CN"/>
        </w:rPr>
        <w:t xml:space="preserve">      </w:t>
      </w:r>
      <w:r>
        <w:rPr>
          <w:rFonts w:hint="default"/>
          <w:sz w:val="22"/>
          <w:szCs w:val="28"/>
          <w:lang w:val="en-US"/>
        </w:rPr>
        <w:t>联系电话：</w:t>
      </w:r>
      <w:r>
        <w:rPr>
          <w:rFonts w:hint="eastAsia"/>
          <w:sz w:val="22"/>
          <w:szCs w:val="28"/>
          <w:u w:val="single"/>
          <w:lang w:val="en-US" w:eastAsia="zh-CN"/>
        </w:rPr>
        <w:t xml:space="preserve">             </w:t>
      </w:r>
    </w:p>
    <w:p w14:paraId="6C995C38">
      <w:pPr>
        <w:ind w:firstLine="480" w:firstLineChars="200"/>
        <w:rPr>
          <w:rFonts w:hint="default"/>
          <w:sz w:val="24"/>
          <w:szCs w:val="32"/>
          <w:u w:val="single"/>
          <w:lang w:val="en-US" w:eastAsia="zh-CN"/>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15" w:type="dxa"/>
          <w:left w:w="15" w:type="dxa"/>
          <w:bottom w:w="15" w:type="dxa"/>
          <w:right w:w="15" w:type="dxa"/>
        </w:tblCellMar>
      </w:tblPr>
      <w:tblGrid>
        <w:gridCol w:w="799"/>
        <w:gridCol w:w="1517"/>
        <w:gridCol w:w="1850"/>
        <w:gridCol w:w="1288"/>
        <w:gridCol w:w="1239"/>
        <w:gridCol w:w="781"/>
        <w:gridCol w:w="678"/>
        <w:gridCol w:w="1503"/>
      </w:tblGrid>
      <w:tr w14:paraId="6884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trPr>
        <w:tc>
          <w:tcPr>
            <w:tcW w:w="799" w:type="dxa"/>
            <w:shd w:val="clear" w:color="auto" w:fill="F2F2F2"/>
            <w:tcMar>
              <w:top w:w="180" w:type="dxa"/>
              <w:left w:w="270" w:type="dxa"/>
              <w:bottom w:w="180" w:type="dxa"/>
              <w:right w:w="270" w:type="dxa"/>
            </w:tcMar>
            <w:vAlign w:val="center"/>
          </w:tcPr>
          <w:p w14:paraId="1031599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序号</w:t>
            </w:r>
          </w:p>
        </w:tc>
        <w:tc>
          <w:tcPr>
            <w:tcW w:w="1517" w:type="dxa"/>
            <w:shd w:val="clear" w:color="auto" w:fill="F2F2F2"/>
            <w:tcMar>
              <w:top w:w="180" w:type="dxa"/>
              <w:left w:w="270" w:type="dxa"/>
              <w:bottom w:w="180" w:type="dxa"/>
              <w:right w:w="270" w:type="dxa"/>
            </w:tcMar>
            <w:vAlign w:val="center"/>
          </w:tcPr>
          <w:p w14:paraId="3291722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项目名称</w:t>
            </w:r>
          </w:p>
        </w:tc>
        <w:tc>
          <w:tcPr>
            <w:tcW w:w="1850" w:type="dxa"/>
            <w:shd w:val="clear" w:color="auto" w:fill="F2F2F2"/>
            <w:tcMar>
              <w:top w:w="180" w:type="dxa"/>
              <w:left w:w="270" w:type="dxa"/>
              <w:bottom w:w="180" w:type="dxa"/>
              <w:right w:w="270" w:type="dxa"/>
            </w:tcMar>
            <w:vAlign w:val="center"/>
          </w:tcPr>
          <w:p w14:paraId="53F910C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规格型号</w:t>
            </w:r>
          </w:p>
        </w:tc>
        <w:tc>
          <w:tcPr>
            <w:tcW w:w="1288" w:type="dxa"/>
            <w:shd w:val="clear" w:color="auto" w:fill="F2F2F2"/>
            <w:tcMar>
              <w:top w:w="180" w:type="dxa"/>
              <w:left w:w="270" w:type="dxa"/>
              <w:bottom w:w="180" w:type="dxa"/>
              <w:right w:w="270" w:type="dxa"/>
            </w:tcMar>
            <w:vAlign w:val="center"/>
          </w:tcPr>
          <w:p w14:paraId="7B66768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单位</w:t>
            </w:r>
          </w:p>
        </w:tc>
        <w:tc>
          <w:tcPr>
            <w:tcW w:w="1239" w:type="dxa"/>
            <w:shd w:val="clear" w:color="auto" w:fill="F2F2F2"/>
            <w:tcMar>
              <w:top w:w="180" w:type="dxa"/>
              <w:left w:w="270" w:type="dxa"/>
              <w:bottom w:w="180" w:type="dxa"/>
              <w:right w:w="270" w:type="dxa"/>
            </w:tcMar>
            <w:vAlign w:val="center"/>
          </w:tcPr>
          <w:p w14:paraId="62B50BB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数量</w:t>
            </w:r>
          </w:p>
        </w:tc>
        <w:tc>
          <w:tcPr>
            <w:tcW w:w="781" w:type="dxa"/>
            <w:shd w:val="clear" w:color="auto" w:fill="F2F2F2"/>
            <w:tcMar>
              <w:top w:w="180" w:type="dxa"/>
              <w:left w:w="270" w:type="dxa"/>
              <w:bottom w:w="180" w:type="dxa"/>
              <w:right w:w="270" w:type="dxa"/>
            </w:tcMar>
            <w:vAlign w:val="center"/>
          </w:tcPr>
          <w:p w14:paraId="1D2EAAF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单价</w:t>
            </w:r>
          </w:p>
        </w:tc>
        <w:tc>
          <w:tcPr>
            <w:tcW w:w="678" w:type="dxa"/>
            <w:shd w:val="clear" w:color="auto" w:fill="F2F2F2"/>
            <w:tcMar>
              <w:top w:w="180" w:type="dxa"/>
              <w:left w:w="270" w:type="dxa"/>
              <w:bottom w:w="180" w:type="dxa"/>
              <w:right w:w="270" w:type="dxa"/>
            </w:tcMar>
            <w:vAlign w:val="center"/>
          </w:tcPr>
          <w:p w14:paraId="020686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合价</w:t>
            </w:r>
          </w:p>
        </w:tc>
        <w:tc>
          <w:tcPr>
            <w:tcW w:w="1503" w:type="dxa"/>
            <w:shd w:val="clear" w:color="auto" w:fill="F2F2F2"/>
            <w:tcMar>
              <w:top w:w="180" w:type="dxa"/>
              <w:left w:w="270" w:type="dxa"/>
              <w:bottom w:w="180" w:type="dxa"/>
              <w:right w:w="270" w:type="dxa"/>
            </w:tcMar>
            <w:vAlign w:val="center"/>
          </w:tcPr>
          <w:p w14:paraId="0642F5C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备注</w:t>
            </w:r>
          </w:p>
        </w:tc>
      </w:tr>
      <w:tr w14:paraId="43B9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6F52F3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1517" w:type="dxa"/>
            <w:shd w:val="clear" w:color="auto" w:fill="FFFFFF"/>
            <w:tcMar>
              <w:top w:w="180" w:type="dxa"/>
              <w:left w:w="270" w:type="dxa"/>
              <w:bottom w:w="180" w:type="dxa"/>
              <w:right w:w="270" w:type="dxa"/>
            </w:tcMar>
            <w:vAlign w:val="center"/>
          </w:tcPr>
          <w:p w14:paraId="5144F5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采光天棚</w:t>
            </w:r>
          </w:p>
        </w:tc>
        <w:tc>
          <w:tcPr>
            <w:tcW w:w="1850" w:type="dxa"/>
            <w:shd w:val="clear" w:color="auto" w:fill="FFFFFF"/>
            <w:tcMar>
              <w:top w:w="180" w:type="dxa"/>
              <w:left w:w="270" w:type="dxa"/>
              <w:bottom w:w="180" w:type="dxa"/>
              <w:right w:w="270" w:type="dxa"/>
            </w:tcMar>
            <w:vAlign w:val="center"/>
          </w:tcPr>
          <w:p w14:paraId="00FFA5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304 不锈钢（40x60x20 规格）骨架、透明耐力板厚度 3mm 厚</w:t>
            </w:r>
          </w:p>
        </w:tc>
        <w:tc>
          <w:tcPr>
            <w:tcW w:w="1288" w:type="dxa"/>
            <w:shd w:val="clear" w:color="auto" w:fill="FFFFFF"/>
            <w:tcMar>
              <w:top w:w="180" w:type="dxa"/>
              <w:left w:w="270" w:type="dxa"/>
              <w:bottom w:w="180" w:type="dxa"/>
              <w:right w:w="270" w:type="dxa"/>
            </w:tcMar>
            <w:vAlign w:val="center"/>
          </w:tcPr>
          <w:p w14:paraId="16F744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1239" w:type="dxa"/>
            <w:shd w:val="clear" w:color="auto" w:fill="FFFFFF"/>
            <w:tcMar>
              <w:top w:w="180" w:type="dxa"/>
              <w:left w:w="270" w:type="dxa"/>
              <w:bottom w:w="180" w:type="dxa"/>
              <w:right w:w="270" w:type="dxa"/>
            </w:tcMar>
            <w:vAlign w:val="center"/>
          </w:tcPr>
          <w:p w14:paraId="3BFB5C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195.00</w:t>
            </w:r>
          </w:p>
        </w:tc>
        <w:tc>
          <w:tcPr>
            <w:tcW w:w="781" w:type="dxa"/>
            <w:shd w:val="clear" w:color="auto" w:fill="FFFFFF"/>
            <w:tcMar>
              <w:top w:w="180" w:type="dxa"/>
              <w:left w:w="270" w:type="dxa"/>
              <w:bottom w:w="180" w:type="dxa"/>
              <w:right w:w="270" w:type="dxa"/>
            </w:tcMar>
            <w:vAlign w:val="center"/>
          </w:tcPr>
          <w:p w14:paraId="1174B2A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3242503A">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2A0EA9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含骨架制作安装、耐力板铺设及辅材；骨架材质符合 GB/T 14976 - 2012 标准，耐力板透光率≥85%、抗冲击强度≥60kJ/㎡</w:t>
            </w:r>
          </w:p>
        </w:tc>
      </w:tr>
      <w:tr w14:paraId="1A09A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5008EA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w:t>
            </w:r>
          </w:p>
        </w:tc>
        <w:tc>
          <w:tcPr>
            <w:tcW w:w="1517" w:type="dxa"/>
            <w:shd w:val="clear" w:color="auto" w:fill="FFFFFF"/>
            <w:tcMar>
              <w:top w:w="180" w:type="dxa"/>
              <w:left w:w="270" w:type="dxa"/>
              <w:bottom w:w="180" w:type="dxa"/>
              <w:right w:w="270" w:type="dxa"/>
            </w:tcMar>
            <w:vAlign w:val="center"/>
          </w:tcPr>
          <w:p w14:paraId="58A356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建筑装饰人工</w:t>
            </w:r>
          </w:p>
        </w:tc>
        <w:tc>
          <w:tcPr>
            <w:tcW w:w="1850" w:type="dxa"/>
            <w:shd w:val="clear" w:color="auto" w:fill="FFFFFF"/>
            <w:tcMar>
              <w:top w:w="180" w:type="dxa"/>
              <w:left w:w="270" w:type="dxa"/>
              <w:bottom w:w="180" w:type="dxa"/>
              <w:right w:w="270" w:type="dxa"/>
            </w:tcMar>
            <w:vAlign w:val="center"/>
          </w:tcPr>
          <w:p w14:paraId="6E6E32C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5860C2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1239" w:type="dxa"/>
            <w:shd w:val="clear" w:color="auto" w:fill="FFFFFF"/>
            <w:tcMar>
              <w:top w:w="180" w:type="dxa"/>
              <w:left w:w="270" w:type="dxa"/>
              <w:bottom w:w="180" w:type="dxa"/>
              <w:right w:w="270" w:type="dxa"/>
            </w:tcMar>
            <w:vAlign w:val="center"/>
          </w:tcPr>
          <w:p w14:paraId="1427656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781" w:type="dxa"/>
            <w:shd w:val="clear" w:color="auto" w:fill="FFFFFF"/>
            <w:tcMar>
              <w:top w:w="180" w:type="dxa"/>
              <w:left w:w="270" w:type="dxa"/>
              <w:bottom w:w="180" w:type="dxa"/>
              <w:right w:w="270" w:type="dxa"/>
            </w:tcMar>
            <w:vAlign w:val="center"/>
          </w:tcPr>
          <w:p w14:paraId="447685D5">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7088AFD3">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0E059A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涵盖现场所有建筑装饰相关人工费用，含各工序人工</w:t>
            </w:r>
          </w:p>
        </w:tc>
      </w:tr>
      <w:tr w14:paraId="06DA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4422D4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w:t>
            </w:r>
          </w:p>
        </w:tc>
        <w:tc>
          <w:tcPr>
            <w:tcW w:w="1517" w:type="dxa"/>
            <w:shd w:val="clear" w:color="auto" w:fill="FFFFFF"/>
            <w:tcMar>
              <w:top w:w="180" w:type="dxa"/>
              <w:left w:w="270" w:type="dxa"/>
              <w:bottom w:w="180" w:type="dxa"/>
              <w:right w:w="270" w:type="dxa"/>
            </w:tcMar>
            <w:vAlign w:val="center"/>
          </w:tcPr>
          <w:p w14:paraId="5CDABA4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304 不锈钢（40x60x20 规格）</w:t>
            </w:r>
          </w:p>
        </w:tc>
        <w:tc>
          <w:tcPr>
            <w:tcW w:w="1850" w:type="dxa"/>
            <w:shd w:val="clear" w:color="auto" w:fill="FFFFFF"/>
            <w:tcMar>
              <w:top w:w="180" w:type="dxa"/>
              <w:left w:w="270" w:type="dxa"/>
              <w:bottom w:w="180" w:type="dxa"/>
              <w:right w:w="270" w:type="dxa"/>
            </w:tcMar>
            <w:vAlign w:val="center"/>
          </w:tcPr>
          <w:p w14:paraId="40E21275">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51388C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米</w:t>
            </w:r>
          </w:p>
        </w:tc>
        <w:tc>
          <w:tcPr>
            <w:tcW w:w="1239" w:type="dxa"/>
            <w:shd w:val="clear" w:color="auto" w:fill="FFFFFF"/>
            <w:tcMar>
              <w:top w:w="180" w:type="dxa"/>
              <w:left w:w="270" w:type="dxa"/>
              <w:bottom w:w="180" w:type="dxa"/>
              <w:right w:w="270" w:type="dxa"/>
            </w:tcMar>
            <w:vAlign w:val="center"/>
          </w:tcPr>
          <w:p w14:paraId="5D5744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600.00</w:t>
            </w:r>
          </w:p>
        </w:tc>
        <w:tc>
          <w:tcPr>
            <w:tcW w:w="781" w:type="dxa"/>
            <w:shd w:val="clear" w:color="auto" w:fill="FFFFFF"/>
            <w:tcMar>
              <w:top w:w="180" w:type="dxa"/>
              <w:left w:w="270" w:type="dxa"/>
              <w:bottom w:w="180" w:type="dxa"/>
              <w:right w:w="270" w:type="dxa"/>
            </w:tcMar>
            <w:vAlign w:val="center"/>
          </w:tcPr>
          <w:p w14:paraId="511AB06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6450C7F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009A67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材质符合 GB/T 14976 - 2012 标准</w:t>
            </w:r>
          </w:p>
        </w:tc>
      </w:tr>
      <w:tr w14:paraId="2EBC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2C2756D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4</w:t>
            </w:r>
          </w:p>
        </w:tc>
        <w:tc>
          <w:tcPr>
            <w:tcW w:w="1517" w:type="dxa"/>
            <w:shd w:val="clear" w:color="auto" w:fill="FFFFFF"/>
            <w:tcMar>
              <w:top w:w="180" w:type="dxa"/>
              <w:left w:w="270" w:type="dxa"/>
              <w:bottom w:w="180" w:type="dxa"/>
              <w:right w:w="270" w:type="dxa"/>
            </w:tcMar>
            <w:vAlign w:val="center"/>
          </w:tcPr>
          <w:p w14:paraId="2F02D3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结构胶</w:t>
            </w:r>
          </w:p>
        </w:tc>
        <w:tc>
          <w:tcPr>
            <w:tcW w:w="1850" w:type="dxa"/>
            <w:shd w:val="clear" w:color="auto" w:fill="FFFFFF"/>
            <w:tcMar>
              <w:top w:w="180" w:type="dxa"/>
              <w:left w:w="270" w:type="dxa"/>
              <w:bottom w:w="180" w:type="dxa"/>
              <w:right w:w="270" w:type="dxa"/>
            </w:tcMar>
            <w:vAlign w:val="center"/>
          </w:tcPr>
          <w:p w14:paraId="042AD35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47BD52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1239" w:type="dxa"/>
            <w:shd w:val="clear" w:color="auto" w:fill="FFFFFF"/>
            <w:tcMar>
              <w:top w:w="180" w:type="dxa"/>
              <w:left w:w="270" w:type="dxa"/>
              <w:bottom w:w="180" w:type="dxa"/>
              <w:right w:w="270" w:type="dxa"/>
            </w:tcMar>
            <w:vAlign w:val="center"/>
          </w:tcPr>
          <w:p w14:paraId="4EDAF2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781" w:type="dxa"/>
            <w:shd w:val="clear" w:color="auto" w:fill="FFFFFF"/>
            <w:tcMar>
              <w:top w:w="180" w:type="dxa"/>
              <w:left w:w="270" w:type="dxa"/>
              <w:bottom w:w="180" w:type="dxa"/>
              <w:right w:w="270" w:type="dxa"/>
            </w:tcMar>
            <w:vAlign w:val="center"/>
          </w:tcPr>
          <w:p w14:paraId="3C9DFC60">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059D4AF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7DDE567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中性硅酮结构胶，符合 GB 16776 - 2005 标准</w:t>
            </w:r>
          </w:p>
        </w:tc>
      </w:tr>
      <w:tr w14:paraId="5539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0C1B68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w:t>
            </w:r>
          </w:p>
        </w:tc>
        <w:tc>
          <w:tcPr>
            <w:tcW w:w="1517" w:type="dxa"/>
            <w:shd w:val="clear" w:color="auto" w:fill="FFFFFF"/>
            <w:tcMar>
              <w:top w:w="180" w:type="dxa"/>
              <w:left w:w="270" w:type="dxa"/>
              <w:bottom w:w="180" w:type="dxa"/>
              <w:right w:w="270" w:type="dxa"/>
            </w:tcMar>
            <w:vAlign w:val="center"/>
          </w:tcPr>
          <w:p w14:paraId="21231E6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龙骨配件</w:t>
            </w:r>
          </w:p>
        </w:tc>
        <w:tc>
          <w:tcPr>
            <w:tcW w:w="1850" w:type="dxa"/>
            <w:shd w:val="clear" w:color="auto" w:fill="FFFFFF"/>
            <w:tcMar>
              <w:top w:w="180" w:type="dxa"/>
              <w:left w:w="270" w:type="dxa"/>
              <w:bottom w:w="180" w:type="dxa"/>
              <w:right w:w="270" w:type="dxa"/>
            </w:tcMar>
            <w:vAlign w:val="center"/>
          </w:tcPr>
          <w:p w14:paraId="34FEF63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7B27AC1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1239" w:type="dxa"/>
            <w:shd w:val="clear" w:color="auto" w:fill="FFFFFF"/>
            <w:tcMar>
              <w:top w:w="180" w:type="dxa"/>
              <w:left w:w="270" w:type="dxa"/>
              <w:bottom w:w="180" w:type="dxa"/>
              <w:right w:w="270" w:type="dxa"/>
            </w:tcMar>
            <w:vAlign w:val="center"/>
          </w:tcPr>
          <w:p w14:paraId="4F0F9E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781" w:type="dxa"/>
            <w:shd w:val="clear" w:color="auto" w:fill="FFFFFF"/>
            <w:tcMar>
              <w:top w:w="180" w:type="dxa"/>
              <w:left w:w="270" w:type="dxa"/>
              <w:bottom w:w="180" w:type="dxa"/>
              <w:right w:w="270" w:type="dxa"/>
            </w:tcMar>
            <w:vAlign w:val="center"/>
          </w:tcPr>
          <w:p w14:paraId="07529A5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77B29FB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6808D0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不锈钢材质，表面镀锌处理</w:t>
            </w:r>
          </w:p>
        </w:tc>
      </w:tr>
      <w:tr w14:paraId="3A99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18E199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6</w:t>
            </w:r>
          </w:p>
        </w:tc>
        <w:tc>
          <w:tcPr>
            <w:tcW w:w="1517" w:type="dxa"/>
            <w:shd w:val="clear" w:color="auto" w:fill="FFFFFF"/>
            <w:tcMar>
              <w:top w:w="180" w:type="dxa"/>
              <w:left w:w="270" w:type="dxa"/>
              <w:bottom w:w="180" w:type="dxa"/>
              <w:right w:w="270" w:type="dxa"/>
            </w:tcMar>
            <w:vAlign w:val="center"/>
          </w:tcPr>
          <w:p w14:paraId="7FC2E1B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透明耐力板</w:t>
            </w:r>
          </w:p>
        </w:tc>
        <w:tc>
          <w:tcPr>
            <w:tcW w:w="1850" w:type="dxa"/>
            <w:shd w:val="clear" w:color="auto" w:fill="FFFFFF"/>
            <w:tcMar>
              <w:top w:w="180" w:type="dxa"/>
              <w:left w:w="270" w:type="dxa"/>
              <w:bottom w:w="180" w:type="dxa"/>
              <w:right w:w="270" w:type="dxa"/>
            </w:tcMar>
            <w:vAlign w:val="center"/>
          </w:tcPr>
          <w:p w14:paraId="2A26257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厚度 3 毫米厚</w:t>
            </w:r>
          </w:p>
        </w:tc>
        <w:tc>
          <w:tcPr>
            <w:tcW w:w="1288" w:type="dxa"/>
            <w:shd w:val="clear" w:color="auto" w:fill="FFFFFF"/>
            <w:tcMar>
              <w:top w:w="180" w:type="dxa"/>
              <w:left w:w="270" w:type="dxa"/>
              <w:bottom w:w="180" w:type="dxa"/>
              <w:right w:w="270" w:type="dxa"/>
            </w:tcMar>
            <w:vAlign w:val="center"/>
          </w:tcPr>
          <w:p w14:paraId="31BD5F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1239" w:type="dxa"/>
            <w:shd w:val="clear" w:color="auto" w:fill="FFFFFF"/>
            <w:tcMar>
              <w:top w:w="180" w:type="dxa"/>
              <w:left w:w="270" w:type="dxa"/>
              <w:bottom w:w="180" w:type="dxa"/>
              <w:right w:w="270" w:type="dxa"/>
            </w:tcMar>
            <w:vAlign w:val="center"/>
          </w:tcPr>
          <w:p w14:paraId="66EEE23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195</w:t>
            </w:r>
          </w:p>
        </w:tc>
        <w:tc>
          <w:tcPr>
            <w:tcW w:w="781" w:type="dxa"/>
            <w:shd w:val="clear" w:color="auto" w:fill="FFFFFF"/>
            <w:tcMar>
              <w:top w:w="180" w:type="dxa"/>
              <w:left w:w="270" w:type="dxa"/>
              <w:bottom w:w="180" w:type="dxa"/>
              <w:right w:w="270" w:type="dxa"/>
            </w:tcMar>
            <w:vAlign w:val="center"/>
          </w:tcPr>
          <w:p w14:paraId="01669781">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0867847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2649FD1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透光率≥85%、抗冲击强度≥60kJ/㎡</w:t>
            </w:r>
          </w:p>
        </w:tc>
      </w:tr>
      <w:tr w14:paraId="4BEE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6FA5117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w:t>
            </w:r>
          </w:p>
        </w:tc>
        <w:tc>
          <w:tcPr>
            <w:tcW w:w="1517" w:type="dxa"/>
            <w:shd w:val="clear" w:color="auto" w:fill="FFFFFF"/>
            <w:tcMar>
              <w:top w:w="180" w:type="dxa"/>
              <w:left w:w="270" w:type="dxa"/>
              <w:bottom w:w="180" w:type="dxa"/>
              <w:right w:w="270" w:type="dxa"/>
            </w:tcMar>
            <w:vAlign w:val="center"/>
          </w:tcPr>
          <w:p w14:paraId="39C7EA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简易脚手架租赁</w:t>
            </w:r>
          </w:p>
        </w:tc>
        <w:tc>
          <w:tcPr>
            <w:tcW w:w="1850" w:type="dxa"/>
            <w:shd w:val="clear" w:color="auto" w:fill="FFFFFF"/>
            <w:tcMar>
              <w:top w:w="180" w:type="dxa"/>
              <w:left w:w="270" w:type="dxa"/>
              <w:bottom w:w="180" w:type="dxa"/>
              <w:right w:w="270" w:type="dxa"/>
            </w:tcMar>
            <w:vAlign w:val="center"/>
          </w:tcPr>
          <w:p w14:paraId="4A24E8F5">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16B406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1239" w:type="dxa"/>
            <w:shd w:val="clear" w:color="auto" w:fill="FFFFFF"/>
            <w:tcMar>
              <w:top w:w="180" w:type="dxa"/>
              <w:left w:w="270" w:type="dxa"/>
              <w:bottom w:w="180" w:type="dxa"/>
              <w:right w:w="270" w:type="dxa"/>
            </w:tcMar>
            <w:vAlign w:val="center"/>
          </w:tcPr>
          <w:p w14:paraId="33FBE1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781" w:type="dxa"/>
            <w:shd w:val="clear" w:color="auto" w:fill="FFFFFF"/>
            <w:tcMar>
              <w:top w:w="180" w:type="dxa"/>
              <w:left w:w="270" w:type="dxa"/>
              <w:bottom w:w="180" w:type="dxa"/>
              <w:right w:w="270" w:type="dxa"/>
            </w:tcMar>
            <w:vAlign w:val="center"/>
          </w:tcPr>
          <w:p w14:paraId="112108A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3853207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03AEE9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含搭设、使用及拆除费用</w:t>
            </w:r>
          </w:p>
        </w:tc>
      </w:tr>
      <w:tr w14:paraId="69AE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0655F0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8</w:t>
            </w:r>
          </w:p>
        </w:tc>
        <w:tc>
          <w:tcPr>
            <w:tcW w:w="1517" w:type="dxa"/>
            <w:shd w:val="clear" w:color="auto" w:fill="FFFFFF"/>
            <w:tcMar>
              <w:top w:w="180" w:type="dxa"/>
              <w:left w:w="270" w:type="dxa"/>
              <w:bottom w:w="180" w:type="dxa"/>
              <w:right w:w="270" w:type="dxa"/>
            </w:tcMar>
            <w:vAlign w:val="center"/>
          </w:tcPr>
          <w:p w14:paraId="2977F1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不锈水槽</w:t>
            </w:r>
          </w:p>
        </w:tc>
        <w:tc>
          <w:tcPr>
            <w:tcW w:w="1850" w:type="dxa"/>
            <w:shd w:val="clear" w:color="auto" w:fill="FFFFFF"/>
            <w:tcMar>
              <w:top w:w="180" w:type="dxa"/>
              <w:left w:w="270" w:type="dxa"/>
              <w:bottom w:w="180" w:type="dxa"/>
              <w:right w:w="270" w:type="dxa"/>
            </w:tcMar>
            <w:vAlign w:val="center"/>
          </w:tcPr>
          <w:p w14:paraId="5D32A433">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5E16C9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米</w:t>
            </w:r>
          </w:p>
        </w:tc>
        <w:tc>
          <w:tcPr>
            <w:tcW w:w="1239" w:type="dxa"/>
            <w:shd w:val="clear" w:color="auto" w:fill="FFFFFF"/>
            <w:tcMar>
              <w:top w:w="180" w:type="dxa"/>
              <w:left w:w="270" w:type="dxa"/>
              <w:bottom w:w="180" w:type="dxa"/>
              <w:right w:w="270" w:type="dxa"/>
            </w:tcMar>
            <w:vAlign w:val="center"/>
          </w:tcPr>
          <w:p w14:paraId="0365C2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15.00</w:t>
            </w:r>
          </w:p>
        </w:tc>
        <w:tc>
          <w:tcPr>
            <w:tcW w:w="781" w:type="dxa"/>
            <w:shd w:val="clear" w:color="auto" w:fill="FFFFFF"/>
            <w:tcMar>
              <w:top w:w="180" w:type="dxa"/>
              <w:left w:w="270" w:type="dxa"/>
              <w:bottom w:w="180" w:type="dxa"/>
              <w:right w:w="270" w:type="dxa"/>
            </w:tcMar>
            <w:vAlign w:val="center"/>
          </w:tcPr>
          <w:p w14:paraId="362CDE0B">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0B63107A">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149F23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304 不锈钢材质</w:t>
            </w:r>
          </w:p>
        </w:tc>
      </w:tr>
      <w:tr w14:paraId="5F3A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664AAF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9</w:t>
            </w:r>
          </w:p>
        </w:tc>
        <w:tc>
          <w:tcPr>
            <w:tcW w:w="1517" w:type="dxa"/>
            <w:shd w:val="clear" w:color="auto" w:fill="FFFFFF"/>
            <w:tcMar>
              <w:top w:w="180" w:type="dxa"/>
              <w:left w:w="270" w:type="dxa"/>
              <w:bottom w:w="180" w:type="dxa"/>
              <w:right w:w="270" w:type="dxa"/>
            </w:tcMar>
            <w:vAlign w:val="center"/>
          </w:tcPr>
          <w:p w14:paraId="1CC74F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PVC110 排水管</w:t>
            </w:r>
          </w:p>
        </w:tc>
        <w:tc>
          <w:tcPr>
            <w:tcW w:w="1850" w:type="dxa"/>
            <w:shd w:val="clear" w:color="auto" w:fill="FFFFFF"/>
            <w:tcMar>
              <w:top w:w="180" w:type="dxa"/>
              <w:left w:w="270" w:type="dxa"/>
              <w:bottom w:w="180" w:type="dxa"/>
              <w:right w:w="270" w:type="dxa"/>
            </w:tcMar>
            <w:vAlign w:val="center"/>
          </w:tcPr>
          <w:p w14:paraId="2E41A04C">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178DEB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米</w:t>
            </w:r>
          </w:p>
        </w:tc>
        <w:tc>
          <w:tcPr>
            <w:tcW w:w="1239" w:type="dxa"/>
            <w:shd w:val="clear" w:color="auto" w:fill="FFFFFF"/>
            <w:tcMar>
              <w:top w:w="180" w:type="dxa"/>
              <w:left w:w="270" w:type="dxa"/>
              <w:bottom w:w="180" w:type="dxa"/>
              <w:right w:w="270" w:type="dxa"/>
            </w:tcMar>
            <w:vAlign w:val="center"/>
          </w:tcPr>
          <w:p w14:paraId="7A1B1B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50.00</w:t>
            </w:r>
          </w:p>
        </w:tc>
        <w:tc>
          <w:tcPr>
            <w:tcW w:w="781" w:type="dxa"/>
            <w:shd w:val="clear" w:color="auto" w:fill="FFFFFF"/>
            <w:tcMar>
              <w:top w:w="180" w:type="dxa"/>
              <w:left w:w="270" w:type="dxa"/>
              <w:bottom w:w="180" w:type="dxa"/>
              <w:right w:w="270" w:type="dxa"/>
            </w:tcMar>
            <w:vAlign w:val="center"/>
          </w:tcPr>
          <w:p w14:paraId="2FE5DD6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711EB5B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330B9C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符合 GB/T 5836.1 - 2018 标准</w:t>
            </w:r>
          </w:p>
        </w:tc>
      </w:tr>
      <w:tr w14:paraId="72D5C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633697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w:t>
            </w:r>
          </w:p>
        </w:tc>
        <w:tc>
          <w:tcPr>
            <w:tcW w:w="1517" w:type="dxa"/>
            <w:shd w:val="clear" w:color="auto" w:fill="FFFFFF"/>
            <w:tcMar>
              <w:top w:w="180" w:type="dxa"/>
              <w:left w:w="270" w:type="dxa"/>
              <w:bottom w:w="180" w:type="dxa"/>
              <w:right w:w="270" w:type="dxa"/>
            </w:tcMar>
            <w:vAlign w:val="center"/>
          </w:tcPr>
          <w:p w14:paraId="5C65B3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实腹钢柱</w:t>
            </w:r>
          </w:p>
        </w:tc>
        <w:tc>
          <w:tcPr>
            <w:tcW w:w="1850" w:type="dxa"/>
            <w:shd w:val="clear" w:color="auto" w:fill="FFFFFF"/>
            <w:tcMar>
              <w:top w:w="180" w:type="dxa"/>
              <w:left w:w="270" w:type="dxa"/>
              <w:bottom w:w="180" w:type="dxa"/>
              <w:right w:w="270" w:type="dxa"/>
            </w:tcMar>
            <w:vAlign w:val="center"/>
          </w:tcPr>
          <w:p w14:paraId="0E802A0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 柱类型：正多边形 200</w:t>
            </w:r>
            <w:r>
              <w:rPr>
                <w:rFonts w:hint="eastAsia" w:ascii="宋体" w:hAnsi="宋体" w:cs="宋体"/>
                <w:i w:val="0"/>
                <w:iCs w:val="0"/>
                <w:caps w:val="0"/>
                <w:color w:val="000000"/>
                <w:spacing w:val="0"/>
                <w:kern w:val="0"/>
                <w:sz w:val="21"/>
                <w:szCs w:val="21"/>
                <w:lang w:val="en-US" w:eastAsia="zh-CN" w:bidi="ar"/>
              </w:rPr>
              <w:t>*</w:t>
            </w:r>
            <w:r>
              <w:rPr>
                <w:rStyle w:val="59"/>
                <w:rFonts w:hint="eastAsia" w:ascii="宋体" w:hAnsi="宋体" w:eastAsia="宋体" w:cs="宋体"/>
                <w:i w:val="0"/>
                <w:iCs w:val="0"/>
                <w:caps w:val="0"/>
                <w:color w:val="000000"/>
                <w:spacing w:val="0"/>
                <w:kern w:val="0"/>
                <w:sz w:val="21"/>
                <w:szCs w:val="21"/>
                <w:lang w:val="en-US" w:eastAsia="zh-CN" w:bidi="ar"/>
              </w:rPr>
              <w:t>200</w:t>
            </w:r>
            <w:r>
              <w:rPr>
                <w:rStyle w:val="59"/>
                <w:rFonts w:hint="eastAsia" w:ascii="宋体" w:hAnsi="宋体" w:cs="宋体"/>
                <w:i w:val="0"/>
                <w:iCs w:val="0"/>
                <w:caps w:val="0"/>
                <w:color w:val="000000"/>
                <w:spacing w:val="0"/>
                <w:kern w:val="0"/>
                <w:sz w:val="21"/>
                <w:szCs w:val="21"/>
                <w:lang w:val="en-US" w:eastAsia="zh-CN" w:bidi="ar"/>
              </w:rPr>
              <w:t>*</w:t>
            </w:r>
            <w:bookmarkStart w:id="18" w:name="_GoBack"/>
            <w:bookmarkEnd w:id="18"/>
            <w:r>
              <w:rPr>
                <w:rFonts w:hint="eastAsia" w:ascii="宋体" w:hAnsi="宋体" w:eastAsia="宋体"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2. 钢材品种、规格：普通钢板加工</w:t>
            </w:r>
            <w:r>
              <w:rPr>
                <w:rFonts w:hint="eastAsia" w:ascii="宋体" w:hAnsi="宋体" w:eastAsia="宋体" w:cs="宋体"/>
                <w:i w:val="0"/>
                <w:iCs w:val="0"/>
                <w:caps w:val="0"/>
                <w:color w:val="000000"/>
                <w:spacing w:val="0"/>
                <w:kern w:val="0"/>
                <w:sz w:val="21"/>
                <w:szCs w:val="21"/>
                <w:lang w:val="en-US" w:eastAsia="zh-CN" w:bidi="ar"/>
              </w:rPr>
              <w:br w:type="textWrapping"/>
            </w:r>
            <w:r>
              <w:rPr>
                <w:rFonts w:hint="eastAsia" w:ascii="宋体" w:hAnsi="宋体" w:eastAsia="宋体" w:cs="宋体"/>
                <w:i w:val="0"/>
                <w:iCs w:val="0"/>
                <w:caps w:val="0"/>
                <w:color w:val="000000"/>
                <w:spacing w:val="0"/>
                <w:kern w:val="0"/>
                <w:sz w:val="21"/>
                <w:szCs w:val="21"/>
                <w:lang w:val="en-US" w:eastAsia="zh-CN" w:bidi="ar"/>
              </w:rPr>
              <w:t>3. 除锈方法：除锈后做白色喷漆</w:t>
            </w:r>
          </w:p>
        </w:tc>
        <w:tc>
          <w:tcPr>
            <w:tcW w:w="1288" w:type="dxa"/>
            <w:shd w:val="clear" w:color="auto" w:fill="FFFFFF"/>
            <w:tcMar>
              <w:top w:w="180" w:type="dxa"/>
              <w:left w:w="270" w:type="dxa"/>
              <w:bottom w:w="180" w:type="dxa"/>
              <w:right w:w="270" w:type="dxa"/>
            </w:tcMar>
            <w:vAlign w:val="center"/>
          </w:tcPr>
          <w:p w14:paraId="271272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t</w:t>
            </w:r>
          </w:p>
        </w:tc>
        <w:tc>
          <w:tcPr>
            <w:tcW w:w="1239" w:type="dxa"/>
            <w:shd w:val="clear" w:color="auto" w:fill="FFFFFF"/>
            <w:tcMar>
              <w:top w:w="180" w:type="dxa"/>
              <w:left w:w="270" w:type="dxa"/>
              <w:bottom w:w="180" w:type="dxa"/>
              <w:right w:w="270" w:type="dxa"/>
            </w:tcMar>
            <w:vAlign w:val="center"/>
          </w:tcPr>
          <w:p w14:paraId="3D56AC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0.844</w:t>
            </w:r>
          </w:p>
        </w:tc>
        <w:tc>
          <w:tcPr>
            <w:tcW w:w="781" w:type="dxa"/>
            <w:shd w:val="clear" w:color="auto" w:fill="FFFFFF"/>
            <w:tcMar>
              <w:top w:w="180" w:type="dxa"/>
              <w:left w:w="270" w:type="dxa"/>
              <w:bottom w:w="180" w:type="dxa"/>
              <w:right w:w="270" w:type="dxa"/>
            </w:tcMar>
            <w:vAlign w:val="center"/>
          </w:tcPr>
          <w:p w14:paraId="3799F4C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3DADE66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3DB1000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含材料及加工费</w:t>
            </w:r>
          </w:p>
        </w:tc>
      </w:tr>
      <w:tr w14:paraId="3530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5E4D9F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11</w:t>
            </w:r>
          </w:p>
        </w:tc>
        <w:tc>
          <w:tcPr>
            <w:tcW w:w="1517" w:type="dxa"/>
            <w:shd w:val="clear" w:color="auto" w:fill="FFFFFF"/>
            <w:tcMar>
              <w:top w:w="180" w:type="dxa"/>
              <w:left w:w="270" w:type="dxa"/>
              <w:bottom w:w="180" w:type="dxa"/>
              <w:right w:w="270" w:type="dxa"/>
            </w:tcMar>
            <w:vAlign w:val="center"/>
          </w:tcPr>
          <w:p w14:paraId="6C23760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组合型钢柱制作</w:t>
            </w:r>
          </w:p>
        </w:tc>
        <w:tc>
          <w:tcPr>
            <w:tcW w:w="1850" w:type="dxa"/>
            <w:shd w:val="clear" w:color="auto" w:fill="FFFFFF"/>
            <w:tcMar>
              <w:top w:w="180" w:type="dxa"/>
              <w:left w:w="270" w:type="dxa"/>
              <w:bottom w:w="180" w:type="dxa"/>
              <w:right w:w="270" w:type="dxa"/>
            </w:tcMar>
            <w:vAlign w:val="center"/>
          </w:tcPr>
          <w:p w14:paraId="647297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3t 以内</w:t>
            </w:r>
          </w:p>
        </w:tc>
        <w:tc>
          <w:tcPr>
            <w:tcW w:w="1288" w:type="dxa"/>
            <w:shd w:val="clear" w:color="auto" w:fill="FFFFFF"/>
            <w:tcMar>
              <w:top w:w="180" w:type="dxa"/>
              <w:left w:w="270" w:type="dxa"/>
              <w:bottom w:w="180" w:type="dxa"/>
              <w:right w:w="270" w:type="dxa"/>
            </w:tcMar>
            <w:vAlign w:val="center"/>
          </w:tcPr>
          <w:p w14:paraId="141D61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t</w:t>
            </w:r>
          </w:p>
        </w:tc>
        <w:tc>
          <w:tcPr>
            <w:tcW w:w="1239" w:type="dxa"/>
            <w:shd w:val="clear" w:color="auto" w:fill="FFFFFF"/>
            <w:tcMar>
              <w:top w:w="180" w:type="dxa"/>
              <w:left w:w="270" w:type="dxa"/>
              <w:bottom w:w="180" w:type="dxa"/>
              <w:right w:w="270" w:type="dxa"/>
            </w:tcMar>
            <w:vAlign w:val="center"/>
          </w:tcPr>
          <w:p w14:paraId="64C713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0.844</w:t>
            </w:r>
          </w:p>
        </w:tc>
        <w:tc>
          <w:tcPr>
            <w:tcW w:w="781" w:type="dxa"/>
            <w:shd w:val="clear" w:color="auto" w:fill="FFFFFF"/>
            <w:tcMar>
              <w:top w:w="180" w:type="dxa"/>
              <w:left w:w="270" w:type="dxa"/>
              <w:bottom w:w="180" w:type="dxa"/>
              <w:right w:w="270" w:type="dxa"/>
            </w:tcMar>
            <w:vAlign w:val="center"/>
          </w:tcPr>
          <w:p w14:paraId="253ED6F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31E93EF8">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149C02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含制作人工及辅材</w:t>
            </w:r>
          </w:p>
        </w:tc>
      </w:tr>
      <w:tr w14:paraId="7E25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21065B2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12</w:t>
            </w:r>
          </w:p>
        </w:tc>
        <w:tc>
          <w:tcPr>
            <w:tcW w:w="1517" w:type="dxa"/>
            <w:shd w:val="clear" w:color="auto" w:fill="FFFFFF"/>
            <w:tcMar>
              <w:top w:w="180" w:type="dxa"/>
              <w:left w:w="270" w:type="dxa"/>
              <w:bottom w:w="180" w:type="dxa"/>
              <w:right w:w="270" w:type="dxa"/>
            </w:tcMar>
            <w:vAlign w:val="center"/>
          </w:tcPr>
          <w:p w14:paraId="5E0405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钢柱安装</w:t>
            </w:r>
          </w:p>
        </w:tc>
        <w:tc>
          <w:tcPr>
            <w:tcW w:w="1850" w:type="dxa"/>
            <w:shd w:val="clear" w:color="auto" w:fill="FFFFFF"/>
            <w:tcMar>
              <w:top w:w="180" w:type="dxa"/>
              <w:left w:w="270" w:type="dxa"/>
              <w:bottom w:w="180" w:type="dxa"/>
              <w:right w:w="270" w:type="dxa"/>
            </w:tcMar>
            <w:vAlign w:val="center"/>
          </w:tcPr>
          <w:p w14:paraId="622613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3t 以内</w:t>
            </w:r>
          </w:p>
        </w:tc>
        <w:tc>
          <w:tcPr>
            <w:tcW w:w="1288" w:type="dxa"/>
            <w:shd w:val="clear" w:color="auto" w:fill="FFFFFF"/>
            <w:tcMar>
              <w:top w:w="180" w:type="dxa"/>
              <w:left w:w="270" w:type="dxa"/>
              <w:bottom w:w="180" w:type="dxa"/>
              <w:right w:w="270" w:type="dxa"/>
            </w:tcMar>
            <w:vAlign w:val="center"/>
          </w:tcPr>
          <w:p w14:paraId="68500F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t</w:t>
            </w:r>
          </w:p>
        </w:tc>
        <w:tc>
          <w:tcPr>
            <w:tcW w:w="1239" w:type="dxa"/>
            <w:shd w:val="clear" w:color="auto" w:fill="FFFFFF"/>
            <w:tcMar>
              <w:top w:w="180" w:type="dxa"/>
              <w:left w:w="270" w:type="dxa"/>
              <w:bottom w:w="180" w:type="dxa"/>
              <w:right w:w="270" w:type="dxa"/>
            </w:tcMar>
            <w:vAlign w:val="center"/>
          </w:tcPr>
          <w:p w14:paraId="5D4020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0.844</w:t>
            </w:r>
          </w:p>
        </w:tc>
        <w:tc>
          <w:tcPr>
            <w:tcW w:w="781" w:type="dxa"/>
            <w:shd w:val="clear" w:color="auto" w:fill="FFFFFF"/>
            <w:tcMar>
              <w:top w:w="180" w:type="dxa"/>
              <w:left w:w="270" w:type="dxa"/>
              <w:bottom w:w="180" w:type="dxa"/>
              <w:right w:w="270" w:type="dxa"/>
            </w:tcMar>
            <w:vAlign w:val="center"/>
          </w:tcPr>
          <w:p w14:paraId="680107D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1C68A63A">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5F9C86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含吊装及固定费用</w:t>
            </w:r>
          </w:p>
        </w:tc>
      </w:tr>
      <w:tr w14:paraId="0EBE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252ECD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13</w:t>
            </w:r>
          </w:p>
        </w:tc>
        <w:tc>
          <w:tcPr>
            <w:tcW w:w="1517" w:type="dxa"/>
            <w:shd w:val="clear" w:color="auto" w:fill="FFFFFF"/>
            <w:tcMar>
              <w:top w:w="180" w:type="dxa"/>
              <w:left w:w="270" w:type="dxa"/>
              <w:bottom w:w="180" w:type="dxa"/>
              <w:right w:w="270" w:type="dxa"/>
            </w:tcMar>
            <w:vAlign w:val="center"/>
          </w:tcPr>
          <w:p w14:paraId="54705E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钢结构喷河砂除锈</w:t>
            </w:r>
          </w:p>
        </w:tc>
        <w:tc>
          <w:tcPr>
            <w:tcW w:w="1850" w:type="dxa"/>
            <w:shd w:val="clear" w:color="auto" w:fill="FFFFFF"/>
            <w:tcMar>
              <w:top w:w="180" w:type="dxa"/>
              <w:left w:w="270" w:type="dxa"/>
              <w:bottom w:w="180" w:type="dxa"/>
              <w:right w:w="270" w:type="dxa"/>
            </w:tcMar>
            <w:vAlign w:val="center"/>
          </w:tcPr>
          <w:p w14:paraId="592D0E8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7656ED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1239" w:type="dxa"/>
            <w:shd w:val="clear" w:color="auto" w:fill="FFFFFF"/>
            <w:tcMar>
              <w:top w:w="180" w:type="dxa"/>
              <w:left w:w="270" w:type="dxa"/>
              <w:bottom w:w="180" w:type="dxa"/>
              <w:right w:w="270" w:type="dxa"/>
            </w:tcMar>
            <w:vAlign w:val="center"/>
          </w:tcPr>
          <w:p w14:paraId="30E8CB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0.3640</w:t>
            </w:r>
          </w:p>
        </w:tc>
        <w:tc>
          <w:tcPr>
            <w:tcW w:w="781" w:type="dxa"/>
            <w:shd w:val="clear" w:color="auto" w:fill="FFFFFF"/>
            <w:tcMar>
              <w:top w:w="180" w:type="dxa"/>
              <w:left w:w="270" w:type="dxa"/>
              <w:bottom w:w="180" w:type="dxa"/>
              <w:right w:w="270" w:type="dxa"/>
            </w:tcMar>
            <w:vAlign w:val="center"/>
          </w:tcPr>
          <w:p w14:paraId="515C39B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467457E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31863C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达到 Sa2.5 级除锈标准</w:t>
            </w:r>
          </w:p>
        </w:tc>
      </w:tr>
      <w:tr w14:paraId="7606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5C2913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14</w:t>
            </w:r>
          </w:p>
        </w:tc>
        <w:tc>
          <w:tcPr>
            <w:tcW w:w="1517" w:type="dxa"/>
            <w:shd w:val="clear" w:color="auto" w:fill="FFFFFF"/>
            <w:tcMar>
              <w:top w:w="180" w:type="dxa"/>
              <w:left w:w="270" w:type="dxa"/>
              <w:bottom w:w="180" w:type="dxa"/>
              <w:right w:w="270" w:type="dxa"/>
            </w:tcMar>
            <w:vAlign w:val="center"/>
          </w:tcPr>
          <w:p w14:paraId="272D41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红丹防锈漆 金属面 一遍</w:t>
            </w:r>
          </w:p>
        </w:tc>
        <w:tc>
          <w:tcPr>
            <w:tcW w:w="1850" w:type="dxa"/>
            <w:shd w:val="clear" w:color="auto" w:fill="FFFFFF"/>
            <w:tcMar>
              <w:top w:w="180" w:type="dxa"/>
              <w:left w:w="270" w:type="dxa"/>
              <w:bottom w:w="180" w:type="dxa"/>
              <w:right w:w="270" w:type="dxa"/>
            </w:tcMar>
            <w:vAlign w:val="center"/>
          </w:tcPr>
          <w:p w14:paraId="2273A0E1">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0950720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1239" w:type="dxa"/>
            <w:shd w:val="clear" w:color="auto" w:fill="FFFFFF"/>
            <w:tcMar>
              <w:top w:w="180" w:type="dxa"/>
              <w:left w:w="270" w:type="dxa"/>
              <w:bottom w:w="180" w:type="dxa"/>
              <w:right w:w="270" w:type="dxa"/>
            </w:tcMar>
            <w:vAlign w:val="center"/>
          </w:tcPr>
          <w:p w14:paraId="5F089E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0.3640</w:t>
            </w:r>
          </w:p>
        </w:tc>
        <w:tc>
          <w:tcPr>
            <w:tcW w:w="781" w:type="dxa"/>
            <w:shd w:val="clear" w:color="auto" w:fill="FFFFFF"/>
            <w:tcMar>
              <w:top w:w="180" w:type="dxa"/>
              <w:left w:w="270" w:type="dxa"/>
              <w:bottom w:w="180" w:type="dxa"/>
              <w:right w:w="270" w:type="dxa"/>
            </w:tcMar>
            <w:vAlign w:val="center"/>
          </w:tcPr>
          <w:p w14:paraId="16627A8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278202FB">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42BBF3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均匀涂刷，无漏喷</w:t>
            </w:r>
          </w:p>
        </w:tc>
      </w:tr>
      <w:tr w14:paraId="5BE2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4302CF6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15</w:t>
            </w:r>
          </w:p>
        </w:tc>
        <w:tc>
          <w:tcPr>
            <w:tcW w:w="1517" w:type="dxa"/>
            <w:shd w:val="clear" w:color="auto" w:fill="FFFFFF"/>
            <w:tcMar>
              <w:top w:w="180" w:type="dxa"/>
              <w:left w:w="270" w:type="dxa"/>
              <w:bottom w:w="180" w:type="dxa"/>
              <w:right w:w="270" w:type="dxa"/>
            </w:tcMar>
            <w:vAlign w:val="center"/>
          </w:tcPr>
          <w:p w14:paraId="31444D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酚醛防锈漆 金属面 一遍</w:t>
            </w:r>
          </w:p>
        </w:tc>
        <w:tc>
          <w:tcPr>
            <w:tcW w:w="1850" w:type="dxa"/>
            <w:shd w:val="clear" w:color="auto" w:fill="FFFFFF"/>
            <w:tcMar>
              <w:top w:w="180" w:type="dxa"/>
              <w:left w:w="270" w:type="dxa"/>
              <w:bottom w:w="180" w:type="dxa"/>
              <w:right w:w="270" w:type="dxa"/>
            </w:tcMar>
            <w:vAlign w:val="center"/>
          </w:tcPr>
          <w:p w14:paraId="776DCE2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5D9A77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1239" w:type="dxa"/>
            <w:shd w:val="clear" w:color="auto" w:fill="FFFFFF"/>
            <w:tcMar>
              <w:top w:w="180" w:type="dxa"/>
              <w:left w:w="270" w:type="dxa"/>
              <w:bottom w:w="180" w:type="dxa"/>
              <w:right w:w="270" w:type="dxa"/>
            </w:tcMar>
            <w:vAlign w:val="center"/>
          </w:tcPr>
          <w:p w14:paraId="717023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0.3640</w:t>
            </w:r>
          </w:p>
        </w:tc>
        <w:tc>
          <w:tcPr>
            <w:tcW w:w="781" w:type="dxa"/>
            <w:shd w:val="clear" w:color="auto" w:fill="FFFFFF"/>
            <w:tcMar>
              <w:top w:w="180" w:type="dxa"/>
              <w:left w:w="270" w:type="dxa"/>
              <w:bottom w:w="180" w:type="dxa"/>
              <w:right w:w="270" w:type="dxa"/>
            </w:tcMar>
            <w:vAlign w:val="center"/>
          </w:tcPr>
          <w:p w14:paraId="651C602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5201EB3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2E18DB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覆盖均匀，色泽一致</w:t>
            </w:r>
          </w:p>
        </w:tc>
      </w:tr>
      <w:tr w14:paraId="20C6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73901AD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16</w:t>
            </w:r>
          </w:p>
        </w:tc>
        <w:tc>
          <w:tcPr>
            <w:tcW w:w="1517" w:type="dxa"/>
            <w:shd w:val="clear" w:color="auto" w:fill="FFFFFF"/>
            <w:tcMar>
              <w:top w:w="180" w:type="dxa"/>
              <w:left w:w="270" w:type="dxa"/>
              <w:bottom w:w="180" w:type="dxa"/>
              <w:right w:w="270" w:type="dxa"/>
            </w:tcMar>
            <w:vAlign w:val="center"/>
          </w:tcPr>
          <w:p w14:paraId="704BE2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 类金属结构构件运输</w:t>
            </w:r>
          </w:p>
        </w:tc>
        <w:tc>
          <w:tcPr>
            <w:tcW w:w="1850" w:type="dxa"/>
            <w:shd w:val="clear" w:color="auto" w:fill="FFFFFF"/>
            <w:tcMar>
              <w:top w:w="180" w:type="dxa"/>
              <w:left w:w="270" w:type="dxa"/>
              <w:bottom w:w="180" w:type="dxa"/>
              <w:right w:w="270" w:type="dxa"/>
            </w:tcMar>
            <w:vAlign w:val="center"/>
          </w:tcPr>
          <w:p w14:paraId="5DB19C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运距 1km 以内 [实际运距 = 10]</w:t>
            </w:r>
          </w:p>
        </w:tc>
        <w:tc>
          <w:tcPr>
            <w:tcW w:w="1288" w:type="dxa"/>
            <w:shd w:val="clear" w:color="auto" w:fill="FFFFFF"/>
            <w:tcMar>
              <w:top w:w="180" w:type="dxa"/>
              <w:left w:w="270" w:type="dxa"/>
              <w:bottom w:w="180" w:type="dxa"/>
              <w:right w:w="270" w:type="dxa"/>
            </w:tcMar>
            <w:vAlign w:val="center"/>
          </w:tcPr>
          <w:p w14:paraId="5C6AFA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10t</w:t>
            </w:r>
          </w:p>
        </w:tc>
        <w:tc>
          <w:tcPr>
            <w:tcW w:w="1239" w:type="dxa"/>
            <w:shd w:val="clear" w:color="auto" w:fill="FFFFFF"/>
            <w:tcMar>
              <w:top w:w="180" w:type="dxa"/>
              <w:left w:w="270" w:type="dxa"/>
              <w:bottom w:w="180" w:type="dxa"/>
              <w:right w:w="270" w:type="dxa"/>
            </w:tcMar>
            <w:vAlign w:val="center"/>
          </w:tcPr>
          <w:p w14:paraId="1CADEF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0.0844</w:t>
            </w:r>
          </w:p>
        </w:tc>
        <w:tc>
          <w:tcPr>
            <w:tcW w:w="781" w:type="dxa"/>
            <w:shd w:val="clear" w:color="auto" w:fill="FFFFFF"/>
            <w:tcMar>
              <w:top w:w="180" w:type="dxa"/>
              <w:left w:w="270" w:type="dxa"/>
              <w:bottom w:w="180" w:type="dxa"/>
              <w:right w:w="270" w:type="dxa"/>
            </w:tcMar>
            <w:vAlign w:val="center"/>
          </w:tcPr>
          <w:p w14:paraId="198D536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745383A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20ED50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含运输及装卸费用</w:t>
            </w:r>
          </w:p>
        </w:tc>
      </w:tr>
      <w:tr w14:paraId="2F1E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3DCA89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17</w:t>
            </w:r>
          </w:p>
        </w:tc>
        <w:tc>
          <w:tcPr>
            <w:tcW w:w="1517" w:type="dxa"/>
            <w:shd w:val="clear" w:color="auto" w:fill="FFFFFF"/>
            <w:tcMar>
              <w:top w:w="180" w:type="dxa"/>
              <w:left w:w="270" w:type="dxa"/>
              <w:bottom w:w="180" w:type="dxa"/>
              <w:right w:w="270" w:type="dxa"/>
            </w:tcMar>
            <w:vAlign w:val="center"/>
          </w:tcPr>
          <w:p w14:paraId="34BE5F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铁件 预埋铁件</w:t>
            </w:r>
          </w:p>
        </w:tc>
        <w:tc>
          <w:tcPr>
            <w:tcW w:w="1850" w:type="dxa"/>
            <w:shd w:val="clear" w:color="auto" w:fill="FFFFFF"/>
            <w:tcMar>
              <w:top w:w="180" w:type="dxa"/>
              <w:left w:w="270" w:type="dxa"/>
              <w:bottom w:w="180" w:type="dxa"/>
              <w:right w:w="270" w:type="dxa"/>
            </w:tcMar>
            <w:vAlign w:val="center"/>
          </w:tcPr>
          <w:p w14:paraId="6203679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13D3B57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t</w:t>
            </w:r>
          </w:p>
        </w:tc>
        <w:tc>
          <w:tcPr>
            <w:tcW w:w="1239" w:type="dxa"/>
            <w:shd w:val="clear" w:color="auto" w:fill="FFFFFF"/>
            <w:tcMar>
              <w:top w:w="180" w:type="dxa"/>
              <w:left w:w="270" w:type="dxa"/>
              <w:bottom w:w="180" w:type="dxa"/>
              <w:right w:w="270" w:type="dxa"/>
            </w:tcMar>
            <w:vAlign w:val="center"/>
          </w:tcPr>
          <w:p w14:paraId="2DA835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0.100</w:t>
            </w:r>
          </w:p>
        </w:tc>
        <w:tc>
          <w:tcPr>
            <w:tcW w:w="781" w:type="dxa"/>
            <w:shd w:val="clear" w:color="auto" w:fill="FFFFFF"/>
            <w:tcMar>
              <w:top w:w="180" w:type="dxa"/>
              <w:left w:w="270" w:type="dxa"/>
              <w:bottom w:w="180" w:type="dxa"/>
              <w:right w:w="270" w:type="dxa"/>
            </w:tcMar>
            <w:vAlign w:val="center"/>
          </w:tcPr>
          <w:p w14:paraId="52F6DCCD">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1922C6C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44C437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Q235 材质</w:t>
            </w:r>
          </w:p>
        </w:tc>
      </w:tr>
      <w:tr w14:paraId="43985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4F43C7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18</w:t>
            </w:r>
          </w:p>
        </w:tc>
        <w:tc>
          <w:tcPr>
            <w:tcW w:w="1517" w:type="dxa"/>
            <w:shd w:val="clear" w:color="auto" w:fill="FFFFFF"/>
            <w:tcMar>
              <w:top w:w="180" w:type="dxa"/>
              <w:left w:w="270" w:type="dxa"/>
              <w:bottom w:w="180" w:type="dxa"/>
              <w:right w:w="270" w:type="dxa"/>
            </w:tcMar>
            <w:vAlign w:val="center"/>
          </w:tcPr>
          <w:p w14:paraId="2965E1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铁件 一般铁件</w:t>
            </w:r>
          </w:p>
        </w:tc>
        <w:tc>
          <w:tcPr>
            <w:tcW w:w="1850" w:type="dxa"/>
            <w:shd w:val="clear" w:color="auto" w:fill="FFFFFF"/>
            <w:tcMar>
              <w:top w:w="180" w:type="dxa"/>
              <w:left w:w="270" w:type="dxa"/>
              <w:bottom w:w="180" w:type="dxa"/>
              <w:right w:w="270" w:type="dxa"/>
            </w:tcMar>
            <w:vAlign w:val="center"/>
          </w:tcPr>
          <w:p w14:paraId="7456CE9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288" w:type="dxa"/>
            <w:shd w:val="clear" w:color="auto" w:fill="FFFFFF"/>
            <w:tcMar>
              <w:top w:w="180" w:type="dxa"/>
              <w:left w:w="270" w:type="dxa"/>
              <w:bottom w:w="180" w:type="dxa"/>
              <w:right w:w="270" w:type="dxa"/>
            </w:tcMar>
            <w:vAlign w:val="center"/>
          </w:tcPr>
          <w:p w14:paraId="0774CB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t</w:t>
            </w:r>
          </w:p>
        </w:tc>
        <w:tc>
          <w:tcPr>
            <w:tcW w:w="1239" w:type="dxa"/>
            <w:shd w:val="clear" w:color="auto" w:fill="FFFFFF"/>
            <w:tcMar>
              <w:top w:w="180" w:type="dxa"/>
              <w:left w:w="270" w:type="dxa"/>
              <w:bottom w:w="180" w:type="dxa"/>
              <w:right w:w="270" w:type="dxa"/>
            </w:tcMar>
            <w:vAlign w:val="center"/>
          </w:tcPr>
          <w:p w14:paraId="5A363D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0.250</w:t>
            </w:r>
          </w:p>
        </w:tc>
        <w:tc>
          <w:tcPr>
            <w:tcW w:w="781" w:type="dxa"/>
            <w:shd w:val="clear" w:color="auto" w:fill="FFFFFF"/>
            <w:tcMar>
              <w:top w:w="180" w:type="dxa"/>
              <w:left w:w="270" w:type="dxa"/>
              <w:bottom w:w="180" w:type="dxa"/>
              <w:right w:w="270" w:type="dxa"/>
            </w:tcMar>
            <w:vAlign w:val="center"/>
          </w:tcPr>
          <w:p w14:paraId="3D0A5285">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678" w:type="dxa"/>
            <w:shd w:val="clear" w:color="auto" w:fill="FFFFFF"/>
            <w:tcMar>
              <w:top w:w="180" w:type="dxa"/>
              <w:left w:w="270" w:type="dxa"/>
              <w:bottom w:w="180" w:type="dxa"/>
              <w:right w:w="270" w:type="dxa"/>
            </w:tcMar>
            <w:vAlign w:val="center"/>
          </w:tcPr>
          <w:p w14:paraId="07E97A1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p>
        </w:tc>
        <w:tc>
          <w:tcPr>
            <w:tcW w:w="1503" w:type="dxa"/>
            <w:shd w:val="clear" w:color="auto" w:fill="FFFFFF"/>
            <w:tcMar>
              <w:top w:w="180" w:type="dxa"/>
              <w:left w:w="270" w:type="dxa"/>
              <w:bottom w:w="180" w:type="dxa"/>
              <w:right w:w="270" w:type="dxa"/>
            </w:tcMar>
            <w:vAlign w:val="center"/>
          </w:tcPr>
          <w:p w14:paraId="2D8A49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Q235 材质</w:t>
            </w:r>
          </w:p>
        </w:tc>
      </w:tr>
      <w:tr w14:paraId="1BEB6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99" w:type="dxa"/>
            <w:shd w:val="clear" w:color="auto" w:fill="FFFFFF"/>
            <w:tcMar>
              <w:top w:w="180" w:type="dxa"/>
              <w:left w:w="270" w:type="dxa"/>
              <w:bottom w:w="180" w:type="dxa"/>
              <w:right w:w="270" w:type="dxa"/>
            </w:tcMar>
            <w:vAlign w:val="center"/>
          </w:tcPr>
          <w:p w14:paraId="0EE771B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19</w:t>
            </w:r>
          </w:p>
        </w:tc>
        <w:tc>
          <w:tcPr>
            <w:tcW w:w="1517" w:type="dxa"/>
            <w:shd w:val="clear" w:color="auto" w:fill="FFFFFF"/>
            <w:tcMar>
              <w:top w:w="180" w:type="dxa"/>
              <w:left w:w="270" w:type="dxa"/>
              <w:bottom w:w="180" w:type="dxa"/>
              <w:right w:w="270" w:type="dxa"/>
            </w:tcMar>
            <w:vAlign w:val="center"/>
          </w:tcPr>
          <w:p w14:paraId="2E941A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总计</w:t>
            </w:r>
          </w:p>
        </w:tc>
        <w:tc>
          <w:tcPr>
            <w:tcW w:w="7339" w:type="dxa"/>
            <w:gridSpan w:val="6"/>
            <w:shd w:val="clear" w:color="auto" w:fill="FFFFFF"/>
            <w:tcMar>
              <w:top w:w="180" w:type="dxa"/>
              <w:left w:w="270" w:type="dxa"/>
              <w:bottom w:w="180" w:type="dxa"/>
              <w:right w:w="270" w:type="dxa"/>
            </w:tcMar>
            <w:vAlign w:val="center"/>
          </w:tcPr>
          <w:p w14:paraId="4CC173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大写：</w:t>
            </w:r>
            <w:r>
              <w:rPr>
                <w:rFonts w:hint="eastAsia" w:ascii="宋体" w:hAnsi="宋体" w:cs="宋体"/>
                <w:i w:val="0"/>
                <w:iCs w:val="0"/>
                <w:caps w:val="0"/>
                <w:color w:val="000000"/>
                <w:spacing w:val="0"/>
                <w:kern w:val="0"/>
                <w:sz w:val="21"/>
                <w:szCs w:val="21"/>
                <w:u w:val="single"/>
                <w:lang w:val="en-US" w:eastAsia="zh-CN" w:bidi="ar"/>
              </w:rPr>
              <w:t xml:space="preserve">                    </w:t>
            </w:r>
            <w:r>
              <w:rPr>
                <w:rFonts w:hint="eastAsia" w:ascii="宋体" w:hAnsi="宋体" w:eastAsia="宋体" w:cs="宋体"/>
                <w:i w:val="0"/>
                <w:iCs w:val="0"/>
                <w:caps w:val="0"/>
                <w:color w:val="000000"/>
                <w:spacing w:val="0"/>
                <w:kern w:val="0"/>
                <w:sz w:val="21"/>
                <w:szCs w:val="21"/>
                <w:lang w:val="en-US" w:eastAsia="zh-CN" w:bidi="ar"/>
              </w:rPr>
              <w:t xml:space="preserve">元整       </w:t>
            </w:r>
            <w:r>
              <w:rPr>
                <w:rFonts w:hint="default" w:ascii="宋体" w:hAnsi="宋体" w:eastAsia="宋体" w:cs="宋体"/>
                <w:i w:val="0"/>
                <w:iCs w:val="0"/>
                <w:caps w:val="0"/>
                <w:color w:val="000000"/>
                <w:spacing w:val="0"/>
                <w:kern w:val="0"/>
                <w:sz w:val="21"/>
                <w:szCs w:val="21"/>
                <w:lang w:val="en-US" w:eastAsia="zh-CN" w:bidi="ar"/>
              </w:rPr>
              <w:t>小写：</w:t>
            </w:r>
            <w:r>
              <w:rPr>
                <w:rFonts w:hint="eastAsia" w:ascii="宋体" w:hAnsi="宋体" w:cs="宋体"/>
                <w:i w:val="0"/>
                <w:iCs w:val="0"/>
                <w:caps w:val="0"/>
                <w:color w:val="000000"/>
                <w:spacing w:val="0"/>
                <w:kern w:val="0"/>
                <w:sz w:val="21"/>
                <w:szCs w:val="21"/>
                <w:u w:val="single"/>
                <w:lang w:val="en-US" w:eastAsia="zh-CN" w:bidi="ar"/>
              </w:rPr>
              <w:t xml:space="preserve">                  </w:t>
            </w:r>
            <w:r>
              <w:rPr>
                <w:rFonts w:hint="default" w:ascii="宋体" w:hAnsi="宋体" w:eastAsia="宋体" w:cs="宋体"/>
                <w:i w:val="0"/>
                <w:iCs w:val="0"/>
                <w:caps w:val="0"/>
                <w:color w:val="000000"/>
                <w:spacing w:val="0"/>
                <w:kern w:val="0"/>
                <w:sz w:val="21"/>
                <w:szCs w:val="21"/>
                <w:lang w:val="en-US" w:eastAsia="zh-CN" w:bidi="ar"/>
              </w:rPr>
              <w:t>元</w:t>
            </w:r>
          </w:p>
        </w:tc>
      </w:tr>
    </w:tbl>
    <w:p w14:paraId="0F239A7A">
      <w:pPr>
        <w:spacing w:line="360" w:lineRule="auto"/>
        <w:rPr>
          <w:rFonts w:hint="eastAsia"/>
          <w:b w:val="0"/>
          <w:bCs w:val="0"/>
          <w:lang w:val="en-US" w:eastAsia="zh-CN"/>
        </w:rPr>
      </w:pPr>
    </w:p>
    <w:p w14:paraId="0FDC9876">
      <w:pPr>
        <w:spacing w:line="240" w:lineRule="auto"/>
        <w:rPr>
          <w:rFonts w:hint="eastAsia"/>
          <w:b/>
          <w:bCs/>
          <w:lang w:val="en-US" w:eastAsia="zh-CN"/>
        </w:rPr>
      </w:pPr>
      <w:r>
        <w:rPr>
          <w:rFonts w:hint="eastAsia"/>
          <w:b/>
          <w:bCs/>
          <w:lang w:val="en-US" w:eastAsia="zh-CN"/>
        </w:rPr>
        <w:t>备注：</w:t>
      </w:r>
    </w:p>
    <w:p w14:paraId="73D840A6">
      <w:pPr>
        <w:spacing w:line="240" w:lineRule="auto"/>
        <w:rPr>
          <w:rFonts w:hint="eastAsia"/>
          <w:lang w:val="en-US" w:eastAsia="zh-CN"/>
        </w:rPr>
      </w:pPr>
      <w:r>
        <w:rPr>
          <w:rFonts w:hint="eastAsia"/>
          <w:lang w:val="en-US" w:eastAsia="zh-CN"/>
        </w:rPr>
        <w:t>1.本报价包含完成该项目所需的人工、材料、机械、运输、安装、税费、售后服务及合同包含的所有风险、责任等全部费用。</w:t>
      </w:r>
    </w:p>
    <w:p w14:paraId="15E2A01F">
      <w:pPr>
        <w:spacing w:line="240" w:lineRule="auto"/>
        <w:rPr>
          <w:rFonts w:hint="eastAsia"/>
          <w:lang w:val="en-US" w:eastAsia="zh-CN"/>
        </w:rPr>
      </w:pPr>
      <w:r>
        <w:rPr>
          <w:rFonts w:hint="eastAsia"/>
          <w:lang w:val="en-US" w:eastAsia="zh-CN"/>
        </w:rPr>
        <w:t>2.报价表中 “备注” 栏需详细注明所用材料的品牌、规格型号、生产厂家等信息，若与项目需求不符，需另附说明。</w:t>
      </w:r>
    </w:p>
    <w:p w14:paraId="1FB2917B">
      <w:pPr>
        <w:spacing w:line="240" w:lineRule="auto"/>
        <w:rPr>
          <w:rFonts w:hint="eastAsia"/>
          <w:lang w:val="en-US" w:eastAsia="zh-CN"/>
        </w:rPr>
      </w:pPr>
      <w:r>
        <w:rPr>
          <w:rFonts w:hint="eastAsia"/>
          <w:lang w:val="en-US" w:eastAsia="zh-CN"/>
        </w:rPr>
        <w:t>3.投标人应确保报价的真实性和合理性，若发现恶意低价或虚报价格，将取消其投标资格。</w:t>
      </w:r>
    </w:p>
    <w:p w14:paraId="38B6C8C1">
      <w:pPr>
        <w:spacing w:line="240" w:lineRule="auto"/>
        <w:rPr>
          <w:rFonts w:hint="eastAsia"/>
          <w:lang w:val="en-US" w:eastAsia="zh-CN"/>
        </w:rPr>
      </w:pPr>
      <w:r>
        <w:rPr>
          <w:rFonts w:hint="eastAsia"/>
          <w:lang w:val="en-US" w:eastAsia="zh-CN"/>
        </w:rPr>
        <w:t>4.最终工程结算以施工过程中双方确认的实际完成工程量结算清单进行结算（新增项目单价另行协商）。</w:t>
      </w:r>
    </w:p>
    <w:p w14:paraId="2804D92B">
      <w:pPr>
        <w:pStyle w:val="3"/>
        <w:bidi w:val="0"/>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第九节  现场踏勘确认表</w:t>
      </w:r>
    </w:p>
    <w:p w14:paraId="3D4D9F6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32"/>
          <w:szCs w:val="32"/>
          <w:highlight w:val="none"/>
          <w:lang w:eastAsia="zh-CN"/>
        </w:rPr>
      </w:pPr>
      <w:r>
        <w:rPr>
          <w:rFonts w:hint="eastAsia" w:ascii="宋体" w:hAnsi="宋体" w:eastAsia="宋体" w:cs="宋体"/>
          <w:b/>
          <w:bCs/>
          <w:color w:val="auto"/>
          <w:kern w:val="0"/>
          <w:sz w:val="32"/>
          <w:szCs w:val="32"/>
          <w:highlight w:val="none"/>
          <w:lang w:eastAsia="zh-CN"/>
        </w:rPr>
        <w:t>融水苗族自治县人民医院3号楼新增不锈钢骨架耐力板面层</w:t>
      </w:r>
    </w:p>
    <w:p w14:paraId="4620175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32"/>
          <w:szCs w:val="32"/>
          <w:highlight w:val="none"/>
        </w:rPr>
      </w:pPr>
      <w:r>
        <w:rPr>
          <w:rFonts w:hint="eastAsia" w:ascii="宋体" w:hAnsi="宋体" w:eastAsia="宋体" w:cs="宋体"/>
          <w:b/>
          <w:bCs/>
          <w:color w:val="auto"/>
          <w:kern w:val="0"/>
          <w:sz w:val="32"/>
          <w:szCs w:val="32"/>
          <w:highlight w:val="none"/>
          <w:lang w:eastAsia="zh-CN"/>
        </w:rPr>
        <w:t>雨棚采购项目</w:t>
      </w:r>
      <w:r>
        <w:rPr>
          <w:rFonts w:hint="eastAsia" w:ascii="宋体" w:hAnsi="宋体" w:eastAsia="宋体" w:cs="宋体"/>
          <w:b/>
          <w:bCs/>
          <w:color w:val="auto"/>
          <w:kern w:val="0"/>
          <w:sz w:val="32"/>
          <w:szCs w:val="32"/>
          <w:highlight w:val="none"/>
        </w:rPr>
        <w:t>现场踏勘确认表</w:t>
      </w:r>
    </w:p>
    <w:tbl>
      <w:tblPr>
        <w:tblStyle w:val="53"/>
        <w:tblW w:w="0" w:type="auto"/>
        <w:jc w:val="center"/>
        <w:tblLayout w:type="fixed"/>
        <w:tblCellMar>
          <w:top w:w="0" w:type="dxa"/>
          <w:left w:w="108" w:type="dxa"/>
          <w:bottom w:w="0" w:type="dxa"/>
          <w:right w:w="108" w:type="dxa"/>
        </w:tblCellMar>
      </w:tblPr>
      <w:tblGrid>
        <w:gridCol w:w="1198"/>
        <w:gridCol w:w="1943"/>
        <w:gridCol w:w="5977"/>
      </w:tblGrid>
      <w:tr w14:paraId="3819D99D">
        <w:tblPrEx>
          <w:tblCellMar>
            <w:top w:w="0" w:type="dxa"/>
            <w:left w:w="108" w:type="dxa"/>
            <w:bottom w:w="0" w:type="dxa"/>
            <w:right w:w="108" w:type="dxa"/>
          </w:tblCellMar>
        </w:tblPrEx>
        <w:trPr>
          <w:trHeight w:val="680" w:hRule="atLeast"/>
          <w:jc w:val="center"/>
        </w:trPr>
        <w:tc>
          <w:tcPr>
            <w:tcW w:w="1198" w:type="dxa"/>
            <w:vMerge w:val="restart"/>
            <w:tcBorders>
              <w:top w:val="single" w:color="auto" w:sz="6" w:space="0"/>
              <w:left w:val="single" w:color="auto" w:sz="6" w:space="0"/>
              <w:bottom w:val="single" w:color="auto" w:sz="6" w:space="0"/>
              <w:right w:val="single" w:color="auto" w:sz="6" w:space="0"/>
            </w:tcBorders>
            <w:noWrap w:val="0"/>
            <w:vAlign w:val="center"/>
          </w:tcPr>
          <w:p w14:paraId="3C4A7DE0">
            <w:pPr>
              <w:widowControl/>
              <w:jc w:val="center"/>
              <w:rPr>
                <w:rFonts w:hint="eastAsia"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lang w:eastAsia="zh-CN"/>
              </w:rPr>
              <w:t>供应商</w:t>
            </w:r>
            <w:r>
              <w:rPr>
                <w:rFonts w:hint="eastAsia" w:ascii="宋体" w:hAnsi="宋体" w:eastAsia="宋体" w:cs="宋体"/>
                <w:b/>
                <w:bCs/>
                <w:color w:val="auto"/>
                <w:kern w:val="0"/>
                <w:sz w:val="22"/>
                <w:szCs w:val="22"/>
                <w:highlight w:val="none"/>
              </w:rPr>
              <w:t>踏勘人员信息</w:t>
            </w:r>
          </w:p>
        </w:tc>
        <w:tc>
          <w:tcPr>
            <w:tcW w:w="1943" w:type="dxa"/>
            <w:tcBorders>
              <w:top w:val="single" w:color="auto" w:sz="4" w:space="0"/>
              <w:left w:val="single" w:color="auto" w:sz="6" w:space="0"/>
              <w:bottom w:val="single" w:color="auto" w:sz="4" w:space="0"/>
              <w:right w:val="single" w:color="auto" w:sz="6" w:space="0"/>
            </w:tcBorders>
            <w:noWrap w:val="0"/>
            <w:vAlign w:val="center"/>
          </w:tcPr>
          <w:p w14:paraId="23CDC4C7">
            <w:pPr>
              <w:widowControl/>
              <w:jc w:val="center"/>
              <w:rPr>
                <w:rFonts w:hint="eastAsia"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rPr>
              <w:t>踏勘人员姓名</w:t>
            </w:r>
          </w:p>
        </w:tc>
        <w:tc>
          <w:tcPr>
            <w:tcW w:w="5977" w:type="dxa"/>
            <w:tcBorders>
              <w:top w:val="single" w:color="auto" w:sz="4" w:space="0"/>
              <w:left w:val="single" w:color="auto" w:sz="6" w:space="0"/>
              <w:bottom w:val="single" w:color="auto" w:sz="4" w:space="0"/>
              <w:right w:val="single" w:color="auto" w:sz="4" w:space="0"/>
            </w:tcBorders>
            <w:noWrap w:val="0"/>
            <w:vAlign w:val="center"/>
          </w:tcPr>
          <w:p w14:paraId="586F7730">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5CCC8286">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r>
      <w:tr w14:paraId="1FED5B5E">
        <w:tblPrEx>
          <w:tblCellMar>
            <w:top w:w="0" w:type="dxa"/>
            <w:left w:w="108" w:type="dxa"/>
            <w:bottom w:w="0" w:type="dxa"/>
            <w:right w:w="108" w:type="dxa"/>
          </w:tblCellMar>
        </w:tblPrEx>
        <w:trPr>
          <w:trHeight w:val="680" w:hRule="atLeast"/>
          <w:jc w:val="center"/>
        </w:trPr>
        <w:tc>
          <w:tcPr>
            <w:tcW w:w="1198" w:type="dxa"/>
            <w:vMerge w:val="continue"/>
            <w:tcBorders>
              <w:top w:val="single" w:color="auto" w:sz="6" w:space="0"/>
              <w:left w:val="single" w:color="auto" w:sz="6" w:space="0"/>
              <w:bottom w:val="single" w:color="auto" w:sz="6" w:space="0"/>
              <w:right w:val="single" w:color="auto" w:sz="6" w:space="0"/>
            </w:tcBorders>
            <w:noWrap w:val="0"/>
            <w:vAlign w:val="center"/>
          </w:tcPr>
          <w:p w14:paraId="43032DC3">
            <w:pPr>
              <w:widowControl/>
              <w:jc w:val="center"/>
              <w:rPr>
                <w:rFonts w:hint="eastAsia" w:ascii="宋体" w:hAnsi="宋体" w:eastAsia="宋体" w:cs="宋体"/>
                <w:b/>
                <w:bCs/>
                <w:color w:val="auto"/>
                <w:kern w:val="0"/>
                <w:sz w:val="22"/>
                <w:szCs w:val="22"/>
                <w:highlight w:val="none"/>
              </w:rPr>
            </w:pPr>
          </w:p>
        </w:tc>
        <w:tc>
          <w:tcPr>
            <w:tcW w:w="1943" w:type="dxa"/>
            <w:tcBorders>
              <w:top w:val="single" w:color="auto" w:sz="4" w:space="0"/>
              <w:left w:val="single" w:color="auto" w:sz="6" w:space="0"/>
              <w:bottom w:val="single" w:color="auto" w:sz="4" w:space="0"/>
              <w:right w:val="single" w:color="auto" w:sz="4" w:space="0"/>
            </w:tcBorders>
            <w:noWrap w:val="0"/>
            <w:vAlign w:val="center"/>
          </w:tcPr>
          <w:p w14:paraId="11C67B26">
            <w:pPr>
              <w:widowControl/>
              <w:jc w:val="center"/>
              <w:rPr>
                <w:rFonts w:hint="eastAsia" w:ascii="宋体" w:hAnsi="宋体" w:eastAsia="宋体" w:cs="宋体"/>
                <w:color w:val="auto"/>
                <w:kern w:val="0"/>
                <w:sz w:val="22"/>
                <w:szCs w:val="22"/>
                <w:highlight w:val="none"/>
              </w:rPr>
            </w:pPr>
            <w:r>
              <w:rPr>
                <w:rFonts w:hint="eastAsia" w:ascii="宋体" w:hAnsi="宋体" w:eastAsia="宋体" w:cs="宋体"/>
                <w:b/>
                <w:color w:val="auto"/>
                <w:kern w:val="0"/>
                <w:sz w:val="22"/>
                <w:szCs w:val="22"/>
                <w:highlight w:val="none"/>
                <w:lang w:eastAsia="zh-CN"/>
              </w:rPr>
              <w:t>供应商</w:t>
            </w:r>
            <w:r>
              <w:rPr>
                <w:rFonts w:hint="eastAsia" w:ascii="宋体" w:hAnsi="宋体" w:eastAsia="宋体" w:cs="宋体"/>
                <w:b/>
                <w:color w:val="auto"/>
                <w:kern w:val="0"/>
                <w:sz w:val="22"/>
                <w:szCs w:val="22"/>
                <w:highlight w:val="none"/>
              </w:rPr>
              <w:t>名称</w:t>
            </w:r>
          </w:p>
        </w:tc>
        <w:tc>
          <w:tcPr>
            <w:tcW w:w="5977" w:type="dxa"/>
            <w:tcBorders>
              <w:top w:val="single" w:color="auto" w:sz="4" w:space="0"/>
              <w:left w:val="nil"/>
              <w:bottom w:val="single" w:color="auto" w:sz="4" w:space="0"/>
              <w:right w:val="single" w:color="auto" w:sz="4" w:space="0"/>
            </w:tcBorders>
            <w:noWrap w:val="0"/>
            <w:vAlign w:val="center"/>
          </w:tcPr>
          <w:p w14:paraId="2F1A976C">
            <w:pPr>
              <w:widowControl/>
              <w:jc w:val="center"/>
              <w:rPr>
                <w:rFonts w:hint="eastAsia" w:ascii="宋体" w:hAnsi="宋体" w:eastAsia="宋体" w:cs="宋体"/>
                <w:color w:val="auto"/>
                <w:kern w:val="0"/>
                <w:sz w:val="22"/>
                <w:szCs w:val="22"/>
                <w:highlight w:val="none"/>
              </w:rPr>
            </w:pPr>
          </w:p>
        </w:tc>
      </w:tr>
      <w:tr w14:paraId="722F8AF1">
        <w:tblPrEx>
          <w:tblCellMar>
            <w:top w:w="0" w:type="dxa"/>
            <w:left w:w="108" w:type="dxa"/>
            <w:bottom w:w="0" w:type="dxa"/>
            <w:right w:w="108" w:type="dxa"/>
          </w:tblCellMar>
        </w:tblPrEx>
        <w:trPr>
          <w:trHeight w:val="680" w:hRule="atLeast"/>
          <w:jc w:val="center"/>
        </w:trPr>
        <w:tc>
          <w:tcPr>
            <w:tcW w:w="1198" w:type="dxa"/>
            <w:vMerge w:val="continue"/>
            <w:tcBorders>
              <w:top w:val="single" w:color="auto" w:sz="6" w:space="0"/>
              <w:left w:val="single" w:color="auto" w:sz="6" w:space="0"/>
              <w:bottom w:val="single" w:color="auto" w:sz="6" w:space="0"/>
              <w:right w:val="single" w:color="auto" w:sz="6" w:space="0"/>
            </w:tcBorders>
            <w:noWrap w:val="0"/>
            <w:vAlign w:val="center"/>
          </w:tcPr>
          <w:p w14:paraId="62E57E72">
            <w:pPr>
              <w:widowControl/>
              <w:jc w:val="center"/>
              <w:rPr>
                <w:rFonts w:hint="eastAsia" w:ascii="宋体" w:hAnsi="宋体" w:eastAsia="宋体" w:cs="宋体"/>
                <w:b/>
                <w:bCs/>
                <w:color w:val="auto"/>
                <w:kern w:val="0"/>
                <w:sz w:val="22"/>
                <w:szCs w:val="22"/>
                <w:highlight w:val="none"/>
              </w:rPr>
            </w:pPr>
          </w:p>
        </w:tc>
        <w:tc>
          <w:tcPr>
            <w:tcW w:w="1943" w:type="dxa"/>
            <w:tcBorders>
              <w:top w:val="nil"/>
              <w:left w:val="single" w:color="auto" w:sz="6" w:space="0"/>
              <w:bottom w:val="single" w:color="auto" w:sz="4" w:space="0"/>
              <w:right w:val="single" w:color="auto" w:sz="4" w:space="0"/>
            </w:tcBorders>
            <w:noWrap w:val="0"/>
            <w:vAlign w:val="center"/>
          </w:tcPr>
          <w:p w14:paraId="51F0D33F">
            <w:pPr>
              <w:widowControl/>
              <w:jc w:val="center"/>
              <w:rPr>
                <w:rFonts w:hint="eastAsia" w:ascii="宋体" w:hAnsi="宋体" w:eastAsia="宋体" w:cs="宋体"/>
                <w:color w:val="auto"/>
                <w:kern w:val="0"/>
                <w:sz w:val="22"/>
                <w:szCs w:val="22"/>
                <w:highlight w:val="none"/>
              </w:rPr>
            </w:pPr>
            <w:r>
              <w:rPr>
                <w:rFonts w:hint="eastAsia" w:ascii="宋体" w:hAnsi="宋体" w:eastAsia="宋体" w:cs="宋体"/>
                <w:b/>
                <w:color w:val="auto"/>
                <w:kern w:val="0"/>
                <w:sz w:val="22"/>
                <w:szCs w:val="22"/>
                <w:highlight w:val="none"/>
              </w:rPr>
              <w:t>身份证号码</w:t>
            </w:r>
          </w:p>
        </w:tc>
        <w:tc>
          <w:tcPr>
            <w:tcW w:w="5977" w:type="dxa"/>
            <w:tcBorders>
              <w:top w:val="nil"/>
              <w:left w:val="nil"/>
              <w:bottom w:val="single" w:color="auto" w:sz="4" w:space="0"/>
              <w:right w:val="single" w:color="auto" w:sz="4" w:space="0"/>
            </w:tcBorders>
            <w:noWrap w:val="0"/>
            <w:vAlign w:val="center"/>
          </w:tcPr>
          <w:p w14:paraId="08737C65">
            <w:pPr>
              <w:widowControl/>
              <w:jc w:val="center"/>
              <w:rPr>
                <w:rFonts w:hint="eastAsia" w:ascii="宋体" w:hAnsi="宋体" w:eastAsia="宋体" w:cs="宋体"/>
                <w:color w:val="auto"/>
                <w:kern w:val="0"/>
                <w:sz w:val="22"/>
                <w:szCs w:val="22"/>
                <w:highlight w:val="none"/>
              </w:rPr>
            </w:pPr>
          </w:p>
        </w:tc>
      </w:tr>
      <w:tr w14:paraId="2D845BA1">
        <w:tblPrEx>
          <w:tblCellMar>
            <w:top w:w="0" w:type="dxa"/>
            <w:left w:w="108" w:type="dxa"/>
            <w:bottom w:w="0" w:type="dxa"/>
            <w:right w:w="108" w:type="dxa"/>
          </w:tblCellMar>
        </w:tblPrEx>
        <w:trPr>
          <w:trHeight w:val="680" w:hRule="atLeast"/>
          <w:jc w:val="center"/>
        </w:trPr>
        <w:tc>
          <w:tcPr>
            <w:tcW w:w="1198" w:type="dxa"/>
            <w:vMerge w:val="continue"/>
            <w:tcBorders>
              <w:top w:val="single" w:color="auto" w:sz="6" w:space="0"/>
              <w:left w:val="single" w:color="auto" w:sz="6" w:space="0"/>
              <w:bottom w:val="single" w:color="auto" w:sz="6" w:space="0"/>
              <w:right w:val="single" w:color="auto" w:sz="6" w:space="0"/>
            </w:tcBorders>
            <w:noWrap w:val="0"/>
            <w:vAlign w:val="center"/>
          </w:tcPr>
          <w:p w14:paraId="4698F050">
            <w:pPr>
              <w:widowControl/>
              <w:jc w:val="center"/>
              <w:rPr>
                <w:rFonts w:hint="eastAsia" w:ascii="宋体" w:hAnsi="宋体" w:eastAsia="宋体" w:cs="宋体"/>
                <w:b/>
                <w:bCs/>
                <w:color w:val="auto"/>
                <w:kern w:val="0"/>
                <w:sz w:val="22"/>
                <w:szCs w:val="22"/>
                <w:highlight w:val="none"/>
              </w:rPr>
            </w:pPr>
          </w:p>
        </w:tc>
        <w:tc>
          <w:tcPr>
            <w:tcW w:w="1943" w:type="dxa"/>
            <w:tcBorders>
              <w:top w:val="nil"/>
              <w:left w:val="single" w:color="auto" w:sz="6" w:space="0"/>
              <w:bottom w:val="single" w:color="auto" w:sz="4" w:space="0"/>
              <w:right w:val="single" w:color="auto" w:sz="4" w:space="0"/>
            </w:tcBorders>
            <w:noWrap w:val="0"/>
            <w:vAlign w:val="center"/>
          </w:tcPr>
          <w:p w14:paraId="2BB816EA">
            <w:pPr>
              <w:widowControl/>
              <w:jc w:val="center"/>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联系方式</w:t>
            </w:r>
          </w:p>
        </w:tc>
        <w:tc>
          <w:tcPr>
            <w:tcW w:w="5977" w:type="dxa"/>
            <w:tcBorders>
              <w:top w:val="nil"/>
              <w:left w:val="nil"/>
              <w:bottom w:val="single" w:color="auto" w:sz="4" w:space="0"/>
              <w:right w:val="single" w:color="auto" w:sz="4" w:space="0"/>
            </w:tcBorders>
            <w:noWrap w:val="0"/>
            <w:vAlign w:val="center"/>
          </w:tcPr>
          <w:p w14:paraId="30D62B8C">
            <w:pPr>
              <w:widowControl/>
              <w:jc w:val="center"/>
              <w:rPr>
                <w:rFonts w:hint="eastAsia" w:ascii="宋体" w:hAnsi="宋体" w:eastAsia="宋体" w:cs="宋体"/>
                <w:color w:val="auto"/>
                <w:kern w:val="0"/>
                <w:sz w:val="22"/>
                <w:szCs w:val="22"/>
                <w:highlight w:val="none"/>
              </w:rPr>
            </w:pPr>
          </w:p>
        </w:tc>
      </w:tr>
      <w:tr w14:paraId="7994F96D">
        <w:tblPrEx>
          <w:tblCellMar>
            <w:top w:w="0" w:type="dxa"/>
            <w:left w:w="108" w:type="dxa"/>
            <w:bottom w:w="0" w:type="dxa"/>
            <w:right w:w="108" w:type="dxa"/>
          </w:tblCellMar>
        </w:tblPrEx>
        <w:trPr>
          <w:trHeight w:val="680" w:hRule="atLeast"/>
          <w:jc w:val="center"/>
        </w:trPr>
        <w:tc>
          <w:tcPr>
            <w:tcW w:w="1198" w:type="dxa"/>
            <w:vMerge w:val="continue"/>
            <w:tcBorders>
              <w:top w:val="single" w:color="auto" w:sz="6" w:space="0"/>
              <w:left w:val="single" w:color="auto" w:sz="6" w:space="0"/>
              <w:bottom w:val="single" w:color="auto" w:sz="6" w:space="0"/>
              <w:right w:val="single" w:color="auto" w:sz="6" w:space="0"/>
            </w:tcBorders>
            <w:noWrap w:val="0"/>
            <w:vAlign w:val="center"/>
          </w:tcPr>
          <w:p w14:paraId="4923EC60">
            <w:pPr>
              <w:widowControl/>
              <w:jc w:val="center"/>
              <w:rPr>
                <w:rFonts w:hint="eastAsia" w:ascii="宋体" w:hAnsi="宋体" w:eastAsia="宋体" w:cs="宋体"/>
                <w:b/>
                <w:bCs/>
                <w:color w:val="auto"/>
                <w:kern w:val="0"/>
                <w:sz w:val="22"/>
                <w:szCs w:val="22"/>
                <w:highlight w:val="none"/>
              </w:rPr>
            </w:pPr>
          </w:p>
        </w:tc>
        <w:tc>
          <w:tcPr>
            <w:tcW w:w="1943" w:type="dxa"/>
            <w:tcBorders>
              <w:top w:val="nil"/>
              <w:left w:val="single" w:color="auto" w:sz="6" w:space="0"/>
              <w:bottom w:val="single" w:color="auto" w:sz="4" w:space="0"/>
              <w:right w:val="single" w:color="auto" w:sz="4" w:space="0"/>
            </w:tcBorders>
            <w:noWrap w:val="0"/>
            <w:vAlign w:val="center"/>
          </w:tcPr>
          <w:p w14:paraId="651A7C83">
            <w:pPr>
              <w:widowControl/>
              <w:jc w:val="center"/>
              <w:rPr>
                <w:rFonts w:hint="eastAsia" w:ascii="宋体" w:hAnsi="宋体" w:eastAsia="宋体" w:cs="宋体"/>
                <w:b/>
                <w:color w:val="auto"/>
                <w:kern w:val="0"/>
                <w:sz w:val="22"/>
                <w:szCs w:val="22"/>
                <w:highlight w:val="none"/>
                <w:lang w:eastAsia="zh-CN"/>
              </w:rPr>
            </w:pPr>
            <w:r>
              <w:rPr>
                <w:rFonts w:hint="eastAsia" w:ascii="宋体" w:hAnsi="宋体" w:eastAsia="宋体" w:cs="宋体"/>
                <w:b/>
                <w:color w:val="auto"/>
                <w:kern w:val="0"/>
                <w:sz w:val="22"/>
                <w:szCs w:val="22"/>
                <w:highlight w:val="none"/>
                <w:lang w:eastAsia="zh-CN"/>
              </w:rPr>
              <w:t>所投分标</w:t>
            </w:r>
          </w:p>
        </w:tc>
        <w:tc>
          <w:tcPr>
            <w:tcW w:w="5977" w:type="dxa"/>
            <w:tcBorders>
              <w:top w:val="nil"/>
              <w:left w:val="nil"/>
              <w:bottom w:val="single" w:color="auto" w:sz="4" w:space="0"/>
              <w:right w:val="single" w:color="auto" w:sz="4" w:space="0"/>
            </w:tcBorders>
            <w:noWrap w:val="0"/>
            <w:vAlign w:val="center"/>
          </w:tcPr>
          <w:p w14:paraId="50C14394">
            <w:pPr>
              <w:widowControl/>
              <w:jc w:val="center"/>
              <w:rPr>
                <w:rFonts w:hint="eastAsia" w:ascii="宋体" w:hAnsi="宋体" w:eastAsia="宋体" w:cs="宋体"/>
                <w:color w:val="auto"/>
                <w:kern w:val="0"/>
                <w:sz w:val="22"/>
                <w:szCs w:val="22"/>
                <w:highlight w:val="none"/>
              </w:rPr>
            </w:pPr>
          </w:p>
        </w:tc>
      </w:tr>
      <w:tr w14:paraId="6B209D68">
        <w:tblPrEx>
          <w:tblCellMar>
            <w:top w:w="0" w:type="dxa"/>
            <w:left w:w="108" w:type="dxa"/>
            <w:bottom w:w="0" w:type="dxa"/>
            <w:right w:w="108" w:type="dxa"/>
          </w:tblCellMar>
        </w:tblPrEx>
        <w:trPr>
          <w:trHeight w:val="4075" w:hRule="atLeast"/>
          <w:jc w:val="center"/>
        </w:trPr>
        <w:tc>
          <w:tcPr>
            <w:tcW w:w="1198" w:type="dxa"/>
            <w:tcBorders>
              <w:top w:val="single" w:color="auto" w:sz="6" w:space="0"/>
              <w:left w:val="single" w:color="auto" w:sz="6" w:space="0"/>
              <w:bottom w:val="single" w:color="auto" w:sz="6" w:space="0"/>
              <w:right w:val="single" w:color="auto" w:sz="6" w:space="0"/>
            </w:tcBorders>
            <w:noWrap w:val="0"/>
            <w:vAlign w:val="center"/>
          </w:tcPr>
          <w:p w14:paraId="0748BC0E">
            <w:pPr>
              <w:widowControl/>
              <w:jc w:val="center"/>
              <w:rPr>
                <w:rFonts w:hint="eastAsia"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现场踏勘情况说明</w:t>
            </w:r>
          </w:p>
        </w:tc>
        <w:tc>
          <w:tcPr>
            <w:tcW w:w="7920" w:type="dxa"/>
            <w:gridSpan w:val="2"/>
            <w:tcBorders>
              <w:top w:val="nil"/>
              <w:left w:val="single" w:color="auto" w:sz="6" w:space="0"/>
              <w:right w:val="single" w:color="auto" w:sz="4" w:space="0"/>
            </w:tcBorders>
            <w:noWrap w:val="0"/>
            <w:vAlign w:val="center"/>
          </w:tcPr>
          <w:p w14:paraId="162B45F6">
            <w:pPr>
              <w:widowControl/>
              <w:jc w:val="center"/>
              <w:rPr>
                <w:rFonts w:hint="eastAsia" w:ascii="宋体" w:hAnsi="宋体" w:eastAsia="宋体" w:cs="宋体"/>
                <w:color w:val="auto"/>
                <w:kern w:val="0"/>
                <w:sz w:val="22"/>
                <w:szCs w:val="22"/>
                <w:highlight w:val="none"/>
              </w:rPr>
            </w:pPr>
          </w:p>
        </w:tc>
      </w:tr>
      <w:tr w14:paraId="07C5C6FC">
        <w:tblPrEx>
          <w:tblCellMar>
            <w:top w:w="0" w:type="dxa"/>
            <w:left w:w="108" w:type="dxa"/>
            <w:bottom w:w="0" w:type="dxa"/>
            <w:right w:w="108" w:type="dxa"/>
          </w:tblCellMar>
        </w:tblPrEx>
        <w:trPr>
          <w:trHeight w:val="2464" w:hRule="atLeast"/>
          <w:jc w:val="center"/>
        </w:trPr>
        <w:tc>
          <w:tcPr>
            <w:tcW w:w="9118" w:type="dxa"/>
            <w:gridSpan w:val="3"/>
            <w:tcBorders>
              <w:top w:val="single" w:color="auto" w:sz="4" w:space="0"/>
              <w:left w:val="single" w:color="auto" w:sz="4" w:space="0"/>
              <w:bottom w:val="single" w:color="auto" w:sz="4" w:space="0"/>
              <w:right w:val="single" w:color="000000" w:sz="4" w:space="0"/>
            </w:tcBorders>
            <w:noWrap w:val="0"/>
            <w:vAlign w:val="bottom"/>
          </w:tcPr>
          <w:p w14:paraId="120E6218">
            <w:pPr>
              <w:widowControl/>
              <w:rPr>
                <w:rFonts w:hint="eastAsia" w:ascii="宋体" w:hAnsi="宋体" w:eastAsia="宋体" w:cs="宋体"/>
                <w:b/>
                <w:bCs/>
                <w:color w:val="auto"/>
                <w:kern w:val="0"/>
                <w:sz w:val="22"/>
                <w:szCs w:val="22"/>
                <w:highlight w:val="none"/>
                <w:u w:val="single"/>
              </w:rPr>
            </w:pPr>
            <w:r>
              <w:rPr>
                <w:rFonts w:hint="eastAsia" w:ascii="宋体" w:hAnsi="宋体" w:eastAsia="宋体" w:cs="宋体"/>
                <w:b/>
                <w:color w:val="auto"/>
                <w:kern w:val="0"/>
                <w:sz w:val="22"/>
                <w:szCs w:val="22"/>
                <w:highlight w:val="none"/>
              </w:rPr>
              <w:t>采购单位：</w:t>
            </w:r>
            <w:r>
              <w:rPr>
                <w:rFonts w:hint="eastAsia" w:ascii="宋体" w:hAnsi="宋体" w:eastAsia="宋体" w:cs="宋体"/>
                <w:b/>
                <w:bCs/>
                <w:color w:val="auto"/>
                <w:kern w:val="0"/>
                <w:sz w:val="22"/>
                <w:szCs w:val="22"/>
                <w:highlight w:val="none"/>
                <w:u w:val="single"/>
              </w:rPr>
              <w:t xml:space="preserve">                            </w:t>
            </w:r>
            <w:r>
              <w:rPr>
                <w:rFonts w:hint="eastAsia" w:ascii="宋体" w:hAnsi="宋体" w:eastAsia="宋体" w:cs="宋体"/>
                <w:b/>
                <w:bCs/>
                <w:color w:val="auto"/>
                <w:kern w:val="0"/>
                <w:sz w:val="22"/>
                <w:szCs w:val="22"/>
                <w:highlight w:val="none"/>
                <w:u w:val="single"/>
                <w:lang w:eastAsia="zh-CN"/>
              </w:rPr>
              <w:t>（</w:t>
            </w:r>
            <w:r>
              <w:rPr>
                <w:rFonts w:hint="eastAsia" w:ascii="宋体" w:hAnsi="宋体" w:eastAsia="宋体" w:cs="宋体"/>
                <w:b/>
                <w:bCs/>
                <w:color w:val="auto"/>
                <w:kern w:val="0"/>
                <w:sz w:val="22"/>
                <w:szCs w:val="22"/>
                <w:highlight w:val="none"/>
                <w:u w:val="single"/>
                <w:lang w:val="en-US" w:eastAsia="zh-CN"/>
              </w:rPr>
              <w:t>盖章</w:t>
            </w:r>
            <w:r>
              <w:rPr>
                <w:rFonts w:hint="eastAsia" w:ascii="宋体" w:hAnsi="宋体" w:eastAsia="宋体" w:cs="宋体"/>
                <w:b/>
                <w:bCs/>
                <w:color w:val="auto"/>
                <w:kern w:val="0"/>
                <w:sz w:val="22"/>
                <w:szCs w:val="22"/>
                <w:highlight w:val="none"/>
                <w:u w:val="single"/>
                <w:lang w:eastAsia="zh-CN"/>
              </w:rPr>
              <w:t>）</w:t>
            </w:r>
            <w:r>
              <w:rPr>
                <w:rFonts w:hint="eastAsia" w:ascii="宋体" w:hAnsi="宋体" w:eastAsia="宋体" w:cs="宋体"/>
                <w:b/>
                <w:bCs/>
                <w:color w:val="auto"/>
                <w:kern w:val="0"/>
                <w:sz w:val="22"/>
                <w:szCs w:val="22"/>
                <w:highlight w:val="none"/>
              </w:rPr>
              <w:t xml:space="preserve">       经办人签字：</w:t>
            </w:r>
            <w:r>
              <w:rPr>
                <w:rFonts w:hint="eastAsia" w:ascii="宋体" w:hAnsi="宋体" w:eastAsia="宋体" w:cs="宋体"/>
                <w:b/>
                <w:bCs/>
                <w:color w:val="auto"/>
                <w:kern w:val="0"/>
                <w:sz w:val="22"/>
                <w:szCs w:val="22"/>
                <w:highlight w:val="none"/>
                <w:u w:val="single"/>
              </w:rPr>
              <w:t xml:space="preserve">                </w:t>
            </w:r>
          </w:p>
          <w:p w14:paraId="5FCC694C">
            <w:pPr>
              <w:widowControl/>
              <w:rPr>
                <w:rFonts w:hint="eastAsia" w:ascii="宋体" w:hAnsi="宋体" w:eastAsia="宋体" w:cs="宋体"/>
                <w:b/>
                <w:bCs/>
                <w:color w:val="auto"/>
                <w:kern w:val="0"/>
                <w:sz w:val="22"/>
                <w:szCs w:val="22"/>
                <w:highlight w:val="none"/>
                <w:u w:val="single"/>
              </w:rPr>
            </w:pPr>
          </w:p>
          <w:p w14:paraId="13C53EF5">
            <w:pPr>
              <w:widowControl/>
              <w:rPr>
                <w:rFonts w:hint="eastAsia"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rPr>
              <w:t xml:space="preserve">                                                   </w:t>
            </w:r>
          </w:p>
        </w:tc>
      </w:tr>
      <w:tr w14:paraId="27608A9B">
        <w:tblPrEx>
          <w:tblCellMar>
            <w:top w:w="0" w:type="dxa"/>
            <w:left w:w="108" w:type="dxa"/>
            <w:bottom w:w="0" w:type="dxa"/>
            <w:right w:w="108" w:type="dxa"/>
          </w:tblCellMar>
        </w:tblPrEx>
        <w:trPr>
          <w:trHeight w:val="785" w:hRule="atLeast"/>
          <w:jc w:val="center"/>
        </w:trPr>
        <w:tc>
          <w:tcPr>
            <w:tcW w:w="9118" w:type="dxa"/>
            <w:gridSpan w:val="3"/>
            <w:tcBorders>
              <w:top w:val="single" w:color="auto" w:sz="4" w:space="0"/>
              <w:left w:val="single" w:color="auto" w:sz="4" w:space="0"/>
              <w:bottom w:val="single" w:color="auto" w:sz="4" w:space="0"/>
              <w:right w:val="single" w:color="000000" w:sz="4" w:space="0"/>
            </w:tcBorders>
            <w:noWrap w:val="0"/>
            <w:vAlign w:val="center"/>
          </w:tcPr>
          <w:p w14:paraId="4BD5AF2B">
            <w:pPr>
              <w:widowControl/>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说明：此表一式两份，</w:t>
            </w:r>
            <w:r>
              <w:rPr>
                <w:rFonts w:hint="eastAsia" w:ascii="宋体" w:hAnsi="宋体" w:eastAsia="宋体" w:cs="宋体"/>
                <w:color w:val="auto"/>
                <w:kern w:val="0"/>
                <w:sz w:val="22"/>
                <w:szCs w:val="22"/>
                <w:highlight w:val="none"/>
                <w:lang w:eastAsia="zh-CN"/>
              </w:rPr>
              <w:t>供应商</w:t>
            </w:r>
            <w:r>
              <w:rPr>
                <w:rFonts w:hint="eastAsia" w:ascii="宋体" w:hAnsi="宋体" w:eastAsia="宋体" w:cs="宋体"/>
                <w:color w:val="auto"/>
                <w:kern w:val="0"/>
                <w:sz w:val="22"/>
                <w:szCs w:val="22"/>
                <w:highlight w:val="none"/>
              </w:rPr>
              <w:t>一份，采购人一份。</w:t>
            </w:r>
          </w:p>
        </w:tc>
      </w:tr>
    </w:tbl>
    <w:p w14:paraId="3B35B53C">
      <w:pPr>
        <w:spacing w:line="500" w:lineRule="exact"/>
        <w:rPr>
          <w:rFonts w:hint="eastAsia" w:ascii="宋体" w:hAnsi="宋体" w:cs="宋体"/>
          <w:color w:val="auto"/>
          <w:sz w:val="28"/>
          <w:szCs w:val="28"/>
          <w:highlight w:val="none"/>
        </w:rPr>
      </w:pPr>
    </w:p>
    <w:p w14:paraId="4501445E">
      <w:pPr>
        <w:spacing w:line="360" w:lineRule="auto"/>
        <w:rPr>
          <w:rFonts w:hint="eastAsia"/>
          <w:lang w:val="en-US" w:eastAsia="zh-CN"/>
        </w:rPr>
      </w:pPr>
    </w:p>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15"/>
      <w:bookmarkEnd w:id="16"/>
    </w:p>
    <w:p w14:paraId="1D884D61">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b/>
          <w:bCs/>
          <w:sz w:val="36"/>
          <w:szCs w:val="36"/>
          <w:lang w:val="en-US" w:eastAsia="zh-CN"/>
        </w:rPr>
      </w:pPr>
      <w:bookmarkStart w:id="17" w:name="_Toc24273"/>
      <w:r>
        <w:rPr>
          <w:rFonts w:hint="default" w:ascii="Times New Roman" w:hAnsi="Times New Roman" w:eastAsia="宋体" w:cs="Times New Roman"/>
          <w:b/>
          <w:bCs/>
          <w:kern w:val="2"/>
          <w:sz w:val="36"/>
          <w:szCs w:val="36"/>
          <w:lang w:val="en-US" w:eastAsia="zh-CN" w:bidi="ar-SA"/>
        </w:rPr>
        <w:t>融水苗族自治县人民医院3号楼新增不锈钢骨架耐力板面层雨棚采购项目竞争性磋商</w:t>
      </w:r>
      <w:r>
        <w:rPr>
          <w:rFonts w:hint="eastAsia"/>
          <w:b/>
          <w:bCs/>
          <w:sz w:val="36"/>
          <w:szCs w:val="36"/>
        </w:rPr>
        <w:t>综合</w:t>
      </w:r>
      <w:bookmarkEnd w:id="17"/>
      <w:r>
        <w:rPr>
          <w:rFonts w:hint="eastAsia"/>
          <w:b/>
          <w:bCs/>
          <w:sz w:val="36"/>
          <w:szCs w:val="36"/>
          <w:lang w:val="en-US" w:eastAsia="zh-CN"/>
        </w:rPr>
        <w:t>评分表</w:t>
      </w:r>
    </w:p>
    <w:p w14:paraId="300DF6AF">
      <w:pPr>
        <w:jc w:val="center"/>
        <w:rPr>
          <w:rFonts w:hint="eastAsia"/>
          <w:b/>
          <w:bCs/>
          <w:sz w:val="44"/>
          <w:szCs w:val="44"/>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464"/>
        <w:gridCol w:w="1251"/>
        <w:gridCol w:w="1303"/>
      </w:tblGrid>
      <w:tr w14:paraId="45922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0312F9F6">
            <w:pPr>
              <w:spacing w:line="360" w:lineRule="auto"/>
              <w:rPr>
                <w:rFonts w:hint="eastAsia" w:ascii="宋体" w:hAnsi="宋体" w:eastAsia="宋体" w:cs="宋体"/>
                <w:lang w:val="en-US" w:eastAsia="zh-CN"/>
              </w:rPr>
            </w:pPr>
            <w:r>
              <w:rPr>
                <w:rFonts w:hint="eastAsia" w:ascii="宋体" w:hAnsi="宋体" w:eastAsia="宋体" w:cs="宋体"/>
                <w:lang w:val="en-US" w:eastAsia="zh-CN"/>
              </w:rPr>
              <w:t>供应商名称：</w:t>
            </w:r>
          </w:p>
        </w:tc>
      </w:tr>
      <w:tr w14:paraId="1C1D2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34AFAA1D">
            <w:pPr>
              <w:spacing w:line="360" w:lineRule="auto"/>
              <w:rPr>
                <w:rFonts w:hint="eastAsia" w:ascii="宋体" w:hAnsi="宋体" w:eastAsia="宋体" w:cs="宋体"/>
              </w:rPr>
            </w:pPr>
            <w:r>
              <w:rPr>
                <w:rFonts w:hint="eastAsia" w:ascii="宋体" w:hAnsi="宋体" w:eastAsia="宋体" w:cs="宋体"/>
              </w:rPr>
              <w:t>序号</w:t>
            </w:r>
          </w:p>
        </w:tc>
        <w:tc>
          <w:tcPr>
            <w:tcW w:w="1212" w:type="dxa"/>
            <w:noWrap w:val="0"/>
            <w:vAlign w:val="center"/>
          </w:tcPr>
          <w:p w14:paraId="134D97CD">
            <w:pPr>
              <w:spacing w:line="360" w:lineRule="auto"/>
              <w:rPr>
                <w:rFonts w:hint="eastAsia" w:ascii="宋体" w:hAnsi="宋体" w:eastAsia="宋体" w:cs="宋体"/>
              </w:rPr>
            </w:pPr>
            <w:r>
              <w:rPr>
                <w:rFonts w:hint="eastAsia" w:ascii="宋体" w:hAnsi="宋体" w:eastAsia="宋体" w:cs="宋体"/>
              </w:rPr>
              <w:t>评分项目</w:t>
            </w:r>
          </w:p>
        </w:tc>
        <w:tc>
          <w:tcPr>
            <w:tcW w:w="5464" w:type="dxa"/>
            <w:noWrap w:val="0"/>
            <w:vAlign w:val="center"/>
          </w:tcPr>
          <w:p w14:paraId="78069F19">
            <w:pPr>
              <w:spacing w:line="360" w:lineRule="auto"/>
              <w:jc w:val="center"/>
              <w:rPr>
                <w:rFonts w:hint="eastAsia" w:ascii="宋体" w:hAnsi="宋体" w:eastAsia="宋体" w:cs="宋体"/>
              </w:rPr>
            </w:pPr>
            <w:r>
              <w:rPr>
                <w:rFonts w:hint="eastAsia" w:ascii="宋体" w:hAnsi="宋体" w:eastAsia="宋体" w:cs="宋体"/>
              </w:rPr>
              <w:t>评分标准</w:t>
            </w:r>
          </w:p>
        </w:tc>
        <w:tc>
          <w:tcPr>
            <w:tcW w:w="1251" w:type="dxa"/>
            <w:noWrap w:val="0"/>
            <w:vAlign w:val="center"/>
          </w:tcPr>
          <w:p w14:paraId="72F4043A">
            <w:pPr>
              <w:spacing w:line="360" w:lineRule="auto"/>
              <w:rPr>
                <w:rFonts w:hint="eastAsia" w:ascii="宋体" w:hAnsi="宋体" w:eastAsia="宋体" w:cs="宋体"/>
              </w:rPr>
            </w:pPr>
            <w:r>
              <w:rPr>
                <w:rFonts w:hint="eastAsia" w:ascii="宋体" w:hAnsi="宋体" w:eastAsia="宋体" w:cs="宋体"/>
              </w:rPr>
              <w:t>分值</w:t>
            </w:r>
          </w:p>
        </w:tc>
        <w:tc>
          <w:tcPr>
            <w:tcW w:w="1303" w:type="dxa"/>
            <w:noWrap w:val="0"/>
            <w:vAlign w:val="center"/>
          </w:tcPr>
          <w:p w14:paraId="544C9EF5">
            <w:pPr>
              <w:spacing w:line="360" w:lineRule="auto"/>
              <w:rPr>
                <w:rFonts w:hint="eastAsia" w:ascii="宋体" w:hAnsi="宋体" w:eastAsia="宋体" w:cs="宋体"/>
                <w:lang w:val="en-US" w:eastAsia="zh-CN"/>
              </w:rPr>
            </w:pPr>
            <w:r>
              <w:rPr>
                <w:rFonts w:hint="eastAsia" w:ascii="宋体" w:hAnsi="宋体" w:eastAsia="宋体" w:cs="宋体"/>
                <w:lang w:val="en-US" w:eastAsia="zh-CN"/>
              </w:rPr>
              <w:t>分数</w:t>
            </w:r>
          </w:p>
        </w:tc>
      </w:tr>
      <w:tr w14:paraId="0F051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87A0FF6">
            <w:pPr>
              <w:spacing w:line="360" w:lineRule="auto"/>
              <w:rPr>
                <w:rFonts w:hint="eastAsia" w:ascii="宋体" w:hAnsi="宋体" w:eastAsia="宋体" w:cs="宋体"/>
              </w:rPr>
            </w:pPr>
            <w:r>
              <w:rPr>
                <w:rFonts w:hint="eastAsia" w:ascii="宋体" w:hAnsi="宋体" w:eastAsia="宋体" w:cs="宋体"/>
              </w:rPr>
              <w:t>1</w:t>
            </w:r>
          </w:p>
        </w:tc>
        <w:tc>
          <w:tcPr>
            <w:tcW w:w="1212" w:type="dxa"/>
            <w:noWrap w:val="0"/>
            <w:vAlign w:val="center"/>
          </w:tcPr>
          <w:p w14:paraId="7829564C">
            <w:pPr>
              <w:spacing w:line="360" w:lineRule="auto"/>
              <w:rPr>
                <w:rFonts w:hint="eastAsia" w:ascii="宋体" w:hAnsi="宋体" w:eastAsia="宋体" w:cs="宋体"/>
              </w:rPr>
            </w:pPr>
            <w:r>
              <w:rPr>
                <w:rFonts w:hint="eastAsia" w:ascii="宋体" w:hAnsi="宋体" w:eastAsia="宋体" w:cs="宋体"/>
              </w:rPr>
              <w:t>报价评分</w:t>
            </w:r>
          </w:p>
          <w:p w14:paraId="28B70DB8">
            <w:pPr>
              <w:spacing w:line="360" w:lineRule="auto"/>
              <w:rPr>
                <w:rFonts w:hint="eastAsia" w:ascii="宋体" w:hAnsi="宋体" w:eastAsia="宋体" w:cs="宋体"/>
              </w:rPr>
            </w:pPr>
            <w:r>
              <w:rPr>
                <w:rFonts w:hint="eastAsia" w:ascii="宋体" w:hAnsi="宋体" w:eastAsia="宋体" w:cs="宋体"/>
                <w:lang w:val="en-US" w:eastAsia="zh-CN"/>
              </w:rPr>
              <w:t>（满分30分）</w:t>
            </w:r>
          </w:p>
        </w:tc>
        <w:tc>
          <w:tcPr>
            <w:tcW w:w="5464" w:type="dxa"/>
            <w:noWrap w:val="0"/>
            <w:vAlign w:val="center"/>
          </w:tcPr>
          <w:p w14:paraId="02B93F23">
            <w:pPr>
              <w:spacing w:line="360" w:lineRule="auto"/>
              <w:rPr>
                <w:rFonts w:hint="eastAsia" w:ascii="宋体" w:hAnsi="宋体" w:eastAsia="宋体" w:cs="宋体"/>
              </w:rPr>
            </w:pPr>
            <w:r>
              <w:rPr>
                <w:rFonts w:hint="eastAsia" w:ascii="宋体" w:hAnsi="宋体" w:eastAsia="宋体" w:cs="宋体"/>
                <w:lang w:val="en-US" w:eastAsia="zh-CN"/>
              </w:rPr>
              <w:t>- 报价≤控制价（121848.00元），</w:t>
            </w:r>
            <w:r>
              <w:rPr>
                <w:rFonts w:hint="eastAsia" w:ascii="宋体" w:hAnsi="宋体" w:eastAsia="宋体" w:cs="宋体"/>
              </w:rPr>
              <w:t>超控制价直接废标</w:t>
            </w:r>
            <w:r>
              <w:rPr>
                <w:rFonts w:hint="eastAsia" w:ascii="宋体" w:hAnsi="宋体" w:eastAsia="宋体" w:cs="宋体"/>
                <w:lang w:val="en-US" w:eastAsia="zh-CN"/>
              </w:rPr>
              <w:br w:type="textWrapping"/>
            </w:r>
            <w:r>
              <w:rPr>
                <w:rFonts w:hint="eastAsia" w:ascii="宋体" w:hAnsi="宋体" w:eastAsia="宋体" w:cs="宋体"/>
                <w:lang w:val="en-US" w:eastAsia="zh-CN"/>
              </w:rPr>
              <w:t>- 计算公式：得分=（最低有效报价/投标报价）×30分</w:t>
            </w:r>
          </w:p>
        </w:tc>
        <w:tc>
          <w:tcPr>
            <w:tcW w:w="1251" w:type="dxa"/>
            <w:noWrap w:val="0"/>
            <w:vAlign w:val="center"/>
          </w:tcPr>
          <w:p w14:paraId="72B198A1">
            <w:pPr>
              <w:spacing w:line="360" w:lineRule="auto"/>
              <w:rPr>
                <w:rFonts w:hint="eastAsia" w:ascii="宋体" w:hAnsi="宋体" w:eastAsia="宋体" w:cs="宋体"/>
              </w:rPr>
            </w:pPr>
            <w:r>
              <w:rPr>
                <w:rFonts w:hint="eastAsia" w:ascii="宋体" w:hAnsi="宋体" w:eastAsia="宋体" w:cs="宋体"/>
              </w:rPr>
              <w:t>0-</w:t>
            </w:r>
            <w:r>
              <w:rPr>
                <w:rFonts w:hint="eastAsia" w:ascii="宋体" w:hAnsi="宋体" w:eastAsia="宋体" w:cs="宋体"/>
                <w:lang w:val="en-US" w:eastAsia="zh-CN"/>
              </w:rPr>
              <w:t>3</w:t>
            </w:r>
            <w:r>
              <w:rPr>
                <w:rFonts w:hint="eastAsia" w:ascii="宋体" w:hAnsi="宋体" w:eastAsia="宋体" w:cs="宋体"/>
              </w:rPr>
              <w:t>0分（满分</w:t>
            </w:r>
            <w:r>
              <w:rPr>
                <w:rFonts w:hint="eastAsia" w:ascii="宋体" w:hAnsi="宋体" w:eastAsia="宋体" w:cs="宋体"/>
                <w:lang w:val="en-US" w:eastAsia="zh-CN"/>
              </w:rPr>
              <w:t>3</w:t>
            </w:r>
            <w:r>
              <w:rPr>
                <w:rFonts w:hint="eastAsia" w:ascii="宋体" w:hAnsi="宋体" w:eastAsia="宋体" w:cs="宋体"/>
              </w:rPr>
              <w:t>0分）</w:t>
            </w:r>
          </w:p>
        </w:tc>
        <w:tc>
          <w:tcPr>
            <w:tcW w:w="1303" w:type="dxa"/>
            <w:noWrap w:val="0"/>
            <w:vAlign w:val="center"/>
          </w:tcPr>
          <w:p w14:paraId="61A140D0">
            <w:pPr>
              <w:spacing w:line="360" w:lineRule="auto"/>
              <w:rPr>
                <w:rFonts w:hint="eastAsia" w:ascii="宋体" w:hAnsi="宋体" w:eastAsia="宋体" w:cs="宋体"/>
              </w:rPr>
            </w:pPr>
          </w:p>
        </w:tc>
      </w:tr>
      <w:tr w14:paraId="3ACD7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541A23DB">
            <w:pPr>
              <w:spacing w:line="360" w:lineRule="auto"/>
              <w:rPr>
                <w:rFonts w:hint="eastAsia" w:ascii="宋体" w:hAnsi="宋体" w:eastAsia="宋体" w:cs="宋体"/>
              </w:rPr>
            </w:pPr>
            <w:r>
              <w:rPr>
                <w:rFonts w:hint="eastAsia" w:ascii="宋体" w:hAnsi="宋体" w:eastAsia="宋体" w:cs="宋体"/>
              </w:rPr>
              <w:t>2</w:t>
            </w:r>
          </w:p>
        </w:tc>
        <w:tc>
          <w:tcPr>
            <w:tcW w:w="1212" w:type="dxa"/>
            <w:noWrap w:val="0"/>
            <w:vAlign w:val="center"/>
          </w:tcPr>
          <w:p w14:paraId="4DDEFC1C">
            <w:pPr>
              <w:spacing w:line="360" w:lineRule="auto"/>
              <w:rPr>
                <w:rFonts w:hint="eastAsia" w:ascii="宋体" w:hAnsi="宋体" w:eastAsia="宋体" w:cs="宋体"/>
                <w:lang w:eastAsia="zh-CN"/>
              </w:rPr>
            </w:pPr>
            <w:r>
              <w:rPr>
                <w:rFonts w:hint="eastAsia" w:ascii="宋体" w:hAnsi="宋体" w:eastAsia="宋体" w:cs="宋体"/>
              </w:rPr>
              <w:t>技术</w:t>
            </w:r>
            <w:r>
              <w:rPr>
                <w:rFonts w:hint="eastAsia" w:ascii="宋体" w:hAnsi="宋体" w:eastAsia="宋体" w:cs="宋体"/>
                <w:lang w:val="en-US" w:eastAsia="zh-CN"/>
              </w:rPr>
              <w:t>部分</w:t>
            </w:r>
          </w:p>
        </w:tc>
        <w:tc>
          <w:tcPr>
            <w:tcW w:w="5464" w:type="dxa"/>
            <w:noWrap w:val="0"/>
            <w:vAlign w:val="center"/>
          </w:tcPr>
          <w:p w14:paraId="5DB9AF97">
            <w:pPr>
              <w:spacing w:line="360" w:lineRule="auto"/>
              <w:jc w:val="center"/>
              <w:rPr>
                <w:rFonts w:hint="eastAsia" w:ascii="宋体" w:hAnsi="宋体" w:eastAsia="宋体" w:cs="宋体"/>
              </w:rPr>
            </w:pPr>
            <w:r>
              <w:rPr>
                <w:rFonts w:hint="eastAsia" w:ascii="宋体" w:hAnsi="宋体" w:eastAsia="宋体" w:cs="宋体"/>
              </w:rPr>
              <w:t>评审因素</w:t>
            </w:r>
          </w:p>
        </w:tc>
        <w:tc>
          <w:tcPr>
            <w:tcW w:w="1251" w:type="dxa"/>
            <w:noWrap w:val="0"/>
            <w:vAlign w:val="center"/>
          </w:tcPr>
          <w:p w14:paraId="4E35632B">
            <w:pPr>
              <w:spacing w:line="360" w:lineRule="auto"/>
              <w:rPr>
                <w:rFonts w:hint="eastAsia" w:ascii="宋体" w:hAnsi="宋体" w:eastAsia="宋体" w:cs="宋体"/>
              </w:rPr>
            </w:pPr>
            <w:r>
              <w:rPr>
                <w:rFonts w:hint="eastAsia" w:ascii="宋体" w:hAnsi="宋体" w:eastAsia="宋体" w:cs="宋体"/>
              </w:rPr>
              <w:t>技术分（满分</w:t>
            </w:r>
            <w:r>
              <w:rPr>
                <w:rFonts w:hint="eastAsia" w:ascii="宋体" w:hAnsi="宋体" w:eastAsia="宋体" w:cs="宋体"/>
                <w:lang w:val="en-US" w:eastAsia="zh-CN"/>
              </w:rPr>
              <w:t>4</w:t>
            </w:r>
            <w:r>
              <w:rPr>
                <w:rFonts w:hint="eastAsia" w:ascii="宋体" w:hAnsi="宋体" w:cs="宋体"/>
                <w:lang w:val="en-US" w:eastAsia="zh-CN"/>
              </w:rPr>
              <w:t>5</w:t>
            </w:r>
            <w:r>
              <w:rPr>
                <w:rFonts w:hint="eastAsia" w:ascii="宋体" w:hAnsi="宋体" w:eastAsia="宋体" w:cs="宋体"/>
              </w:rPr>
              <w:t>分）</w:t>
            </w:r>
          </w:p>
        </w:tc>
        <w:tc>
          <w:tcPr>
            <w:tcW w:w="1303" w:type="dxa"/>
            <w:noWrap w:val="0"/>
            <w:vAlign w:val="center"/>
          </w:tcPr>
          <w:p w14:paraId="1EA60EEE">
            <w:pPr>
              <w:spacing w:line="360" w:lineRule="auto"/>
              <w:rPr>
                <w:rFonts w:hint="eastAsia" w:ascii="宋体" w:hAnsi="宋体" w:eastAsia="宋体" w:cs="宋体"/>
              </w:rPr>
            </w:pPr>
          </w:p>
        </w:tc>
      </w:tr>
      <w:tr w14:paraId="39B5F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762DEC3E">
            <w:pPr>
              <w:spacing w:line="360" w:lineRule="auto"/>
              <w:rPr>
                <w:rFonts w:hint="eastAsia" w:ascii="宋体" w:hAnsi="宋体" w:eastAsia="宋体" w:cs="宋体"/>
              </w:rPr>
            </w:pPr>
            <w:r>
              <w:rPr>
                <w:rFonts w:hint="eastAsia" w:ascii="宋体" w:hAnsi="宋体" w:eastAsia="宋体" w:cs="宋体"/>
              </w:rPr>
              <w:t>2.1</w:t>
            </w:r>
          </w:p>
        </w:tc>
        <w:tc>
          <w:tcPr>
            <w:tcW w:w="1212" w:type="dxa"/>
            <w:noWrap w:val="0"/>
            <w:vAlign w:val="center"/>
          </w:tcPr>
          <w:p w14:paraId="05C6CA9A">
            <w:pPr>
              <w:spacing w:line="360" w:lineRule="auto"/>
              <w:rPr>
                <w:rFonts w:hint="eastAsia" w:ascii="宋体" w:hAnsi="宋体" w:eastAsia="宋体" w:cs="宋体"/>
                <w:lang w:val="en-US" w:eastAsia="zh-CN"/>
              </w:rPr>
            </w:pPr>
            <w:r>
              <w:rPr>
                <w:rFonts w:hint="eastAsia" w:ascii="宋体" w:hAnsi="宋体" w:eastAsia="宋体" w:cs="宋体"/>
                <w:lang w:val="en-US" w:eastAsia="zh-CN"/>
              </w:rPr>
              <w:t>施工方案</w:t>
            </w:r>
            <w:r>
              <w:rPr>
                <w:rFonts w:hint="eastAsia" w:ascii="宋体" w:hAnsi="宋体" w:eastAsia="宋体" w:cs="宋体"/>
              </w:rPr>
              <w:t>与技术措施</w:t>
            </w:r>
          </w:p>
        </w:tc>
        <w:tc>
          <w:tcPr>
            <w:tcW w:w="5464" w:type="dxa"/>
            <w:noWrap w:val="0"/>
            <w:vAlign w:val="top"/>
          </w:tcPr>
          <w:p w14:paraId="61C4061D">
            <w:pPr>
              <w:spacing w:line="360" w:lineRule="auto"/>
              <w:rPr>
                <w:rFonts w:hint="eastAsia" w:ascii="宋体" w:hAnsi="宋体" w:eastAsia="宋体" w:cs="宋体"/>
              </w:rPr>
            </w:pPr>
            <w:r>
              <w:rPr>
                <w:rFonts w:hint="default" w:ascii="宋体" w:hAnsi="宋体" w:eastAsia="宋体" w:cs="宋体"/>
              </w:rPr>
              <w:t>- 一档（0-5 分）：施工方案存在明显缺陷，不锈钢骨架焊接、耐力板铺设等核心工艺描述不清，无难点应对措施；</w:t>
            </w:r>
            <w:r>
              <w:rPr>
                <w:rFonts w:hint="default" w:ascii="宋体" w:hAnsi="宋体" w:eastAsia="宋体" w:cs="宋体"/>
              </w:rPr>
              <w:br w:type="textWrapping"/>
            </w:r>
            <w:r>
              <w:rPr>
                <w:rFonts w:hint="default" w:ascii="宋体" w:hAnsi="宋体" w:eastAsia="宋体" w:cs="宋体"/>
              </w:rPr>
              <w:t>- 二档（6-10 分）：施工方案基本完整，涉及骨架安装、面板铺设等关键步骤，但工艺细节不够明确，难点应对措施简单；</w:t>
            </w:r>
            <w:r>
              <w:rPr>
                <w:rFonts w:hint="default" w:ascii="宋体" w:hAnsi="宋体" w:eastAsia="宋体" w:cs="宋体"/>
              </w:rPr>
              <w:br w:type="textWrapping"/>
            </w:r>
            <w:r>
              <w:rPr>
                <w:rFonts w:hint="default" w:ascii="宋体" w:hAnsi="宋体" w:eastAsia="宋体" w:cs="宋体"/>
              </w:rPr>
              <w:t>- 三档（11-15 分）：施工方案较合理，对不锈钢材质处理、耐力板固定方式等有详细说明，能识别项目难点并提出基本可行的应对措施；</w:t>
            </w:r>
            <w:r>
              <w:rPr>
                <w:rFonts w:hint="default" w:ascii="宋体" w:hAnsi="宋体" w:eastAsia="宋体" w:cs="宋体"/>
              </w:rPr>
              <w:br w:type="textWrapping"/>
            </w:r>
            <w:r>
              <w:rPr>
                <w:rFonts w:hint="default" w:ascii="宋体" w:hAnsi="宋体" w:eastAsia="宋体" w:cs="宋体"/>
              </w:rPr>
              <w:t>- 四档（16-18 分）：施工方案科学详细，涵盖现场测量、下料、焊接、安装、密封等全流程，对高空作业、结构承重等难点分析准确，应对措施具体有效。</w:t>
            </w:r>
          </w:p>
        </w:tc>
        <w:tc>
          <w:tcPr>
            <w:tcW w:w="1251" w:type="dxa"/>
            <w:noWrap w:val="0"/>
            <w:vAlign w:val="center"/>
          </w:tcPr>
          <w:p w14:paraId="1A898149">
            <w:pPr>
              <w:spacing w:line="360" w:lineRule="auto"/>
              <w:rPr>
                <w:rFonts w:hint="eastAsia" w:ascii="宋体" w:hAnsi="宋体" w:eastAsia="宋体" w:cs="宋体"/>
              </w:rPr>
            </w:pPr>
            <w:r>
              <w:rPr>
                <w:rFonts w:hint="eastAsia" w:ascii="宋体" w:hAnsi="宋体" w:eastAsia="宋体" w:cs="宋体"/>
              </w:rPr>
              <w:t>0-</w:t>
            </w:r>
            <w:r>
              <w:rPr>
                <w:rFonts w:hint="eastAsia" w:ascii="宋体" w:hAnsi="宋体" w:eastAsia="宋体" w:cs="宋体"/>
                <w:lang w:val="en-US" w:eastAsia="zh-CN"/>
              </w:rPr>
              <w:t>1</w:t>
            </w:r>
            <w:r>
              <w:rPr>
                <w:rFonts w:hint="eastAsia" w:ascii="宋体" w:hAnsi="宋体" w:cs="宋体"/>
                <w:lang w:val="en-US" w:eastAsia="zh-CN"/>
              </w:rPr>
              <w:t>8</w:t>
            </w:r>
            <w:r>
              <w:rPr>
                <w:rFonts w:hint="eastAsia" w:ascii="宋体" w:hAnsi="宋体" w:eastAsia="宋体" w:cs="宋体"/>
              </w:rPr>
              <w:t>分</w:t>
            </w:r>
          </w:p>
        </w:tc>
        <w:tc>
          <w:tcPr>
            <w:tcW w:w="1303" w:type="dxa"/>
            <w:noWrap w:val="0"/>
            <w:vAlign w:val="center"/>
          </w:tcPr>
          <w:p w14:paraId="038C5E8A">
            <w:pPr>
              <w:spacing w:line="360" w:lineRule="auto"/>
              <w:rPr>
                <w:rFonts w:hint="eastAsia" w:ascii="宋体" w:hAnsi="宋体" w:eastAsia="宋体" w:cs="宋体"/>
              </w:rPr>
            </w:pPr>
          </w:p>
        </w:tc>
      </w:tr>
      <w:tr w14:paraId="30B66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25CE86AE">
            <w:pPr>
              <w:spacing w:line="360" w:lineRule="auto"/>
              <w:rPr>
                <w:rFonts w:hint="eastAsia" w:ascii="宋体" w:hAnsi="宋体" w:eastAsia="宋体" w:cs="宋体"/>
                <w:lang w:val="en-US" w:eastAsia="zh-CN"/>
              </w:rPr>
            </w:pPr>
            <w:r>
              <w:rPr>
                <w:rFonts w:hint="eastAsia" w:ascii="宋体" w:hAnsi="宋体" w:eastAsia="宋体" w:cs="宋体"/>
                <w:lang w:val="en-US" w:eastAsia="zh-CN"/>
              </w:rPr>
              <w:t>2.2</w:t>
            </w:r>
          </w:p>
        </w:tc>
        <w:tc>
          <w:tcPr>
            <w:tcW w:w="1212" w:type="dxa"/>
            <w:noWrap w:val="0"/>
            <w:vAlign w:val="center"/>
          </w:tcPr>
          <w:p w14:paraId="128EF71D">
            <w:pPr>
              <w:spacing w:line="360" w:lineRule="auto"/>
              <w:rPr>
                <w:rFonts w:hint="eastAsia" w:ascii="宋体" w:hAnsi="宋体" w:eastAsia="宋体" w:cs="宋体"/>
                <w:lang w:val="en-US" w:eastAsia="zh-CN"/>
              </w:rPr>
            </w:pPr>
            <w:r>
              <w:rPr>
                <w:rFonts w:hint="eastAsia" w:ascii="宋体" w:hAnsi="宋体" w:eastAsia="宋体" w:cs="宋体"/>
              </w:rPr>
              <w:t>质量保证措施</w:t>
            </w:r>
          </w:p>
        </w:tc>
        <w:tc>
          <w:tcPr>
            <w:tcW w:w="5464" w:type="dxa"/>
            <w:noWrap w:val="0"/>
            <w:vAlign w:val="top"/>
          </w:tcPr>
          <w:p w14:paraId="3BC6D65F">
            <w:pPr>
              <w:spacing w:line="360" w:lineRule="auto"/>
              <w:rPr>
                <w:rFonts w:hint="eastAsia" w:ascii="宋体" w:hAnsi="宋体" w:eastAsia="宋体" w:cs="宋体"/>
                <w:lang w:val="en-US" w:eastAsia="zh-CN"/>
              </w:rPr>
            </w:pPr>
            <w:r>
              <w:rPr>
                <w:rFonts w:hint="default" w:ascii="宋体" w:hAnsi="宋体" w:eastAsia="宋体" w:cs="宋体"/>
              </w:rPr>
              <w:t>- 一档（0-3 分）：质量保证措施不完善，未明确材料检验（如 304 不锈钢材质证明、耐力板厚度检测）和施工质量控制点；</w:t>
            </w:r>
            <w:r>
              <w:rPr>
                <w:rFonts w:hint="default" w:ascii="宋体" w:hAnsi="宋体" w:eastAsia="宋体" w:cs="宋体"/>
              </w:rPr>
              <w:br w:type="textWrapping"/>
            </w:r>
            <w:r>
              <w:rPr>
                <w:rFonts w:hint="default" w:ascii="宋体" w:hAnsi="宋体" w:eastAsia="宋体" w:cs="宋体"/>
              </w:rPr>
              <w:t>- 二档（4-7 分）：质量保证措施基本具备，提及材料进场检验和关键工序验收，但无具体标准和责任分工；</w:t>
            </w:r>
            <w:r>
              <w:rPr>
                <w:rFonts w:hint="default" w:ascii="宋体" w:hAnsi="宋体" w:eastAsia="宋体" w:cs="宋体"/>
              </w:rPr>
              <w:br w:type="textWrapping"/>
            </w:r>
            <w:r>
              <w:rPr>
                <w:rFonts w:hint="default" w:ascii="宋体" w:hAnsi="宋体" w:eastAsia="宋体" w:cs="宋体"/>
              </w:rPr>
              <w:t>- 三档（8-10 分）：质量保证措施较完善，明确不锈钢骨架焊接强度、耐力板透光率等检验标准，有施工过程质量巡检机制；</w:t>
            </w:r>
            <w:r>
              <w:rPr>
                <w:rFonts w:hint="default" w:ascii="宋体" w:hAnsi="宋体" w:eastAsia="宋体" w:cs="宋体"/>
              </w:rPr>
              <w:br w:type="textWrapping"/>
            </w:r>
            <w:r>
              <w:rPr>
                <w:rFonts w:hint="default" w:ascii="宋体" w:hAnsi="宋体" w:eastAsia="宋体" w:cs="宋体"/>
              </w:rPr>
              <w:t>- 四档（11-12 分）：质量保证体系健全，材料检验、工序验收、成品保护等措施具体，有明确的质量目标（如一次性验收合格）和奖惩机制。</w:t>
            </w:r>
          </w:p>
        </w:tc>
        <w:tc>
          <w:tcPr>
            <w:tcW w:w="1251" w:type="dxa"/>
            <w:noWrap w:val="0"/>
            <w:vAlign w:val="center"/>
          </w:tcPr>
          <w:p w14:paraId="4B0C9833">
            <w:pPr>
              <w:spacing w:line="360" w:lineRule="auto"/>
              <w:rPr>
                <w:rFonts w:hint="eastAsia" w:ascii="宋体" w:hAnsi="宋体" w:eastAsia="宋体" w:cs="宋体"/>
                <w:lang w:val="en-US" w:eastAsia="zh-CN"/>
              </w:rPr>
            </w:pPr>
            <w:r>
              <w:rPr>
                <w:rFonts w:hint="eastAsia" w:ascii="宋体" w:hAnsi="宋体" w:eastAsia="宋体" w:cs="宋体"/>
                <w:lang w:val="en-US" w:eastAsia="zh-CN"/>
              </w:rPr>
              <w:t>0-1</w:t>
            </w:r>
            <w:r>
              <w:rPr>
                <w:rFonts w:hint="eastAsia" w:ascii="宋体" w:hAnsi="宋体" w:cs="宋体"/>
                <w:lang w:val="en-US" w:eastAsia="zh-CN"/>
              </w:rPr>
              <w:t>2</w:t>
            </w:r>
            <w:r>
              <w:rPr>
                <w:rFonts w:hint="eastAsia" w:ascii="宋体" w:hAnsi="宋体" w:eastAsia="宋体" w:cs="宋体"/>
                <w:lang w:val="en-US" w:eastAsia="zh-CN"/>
              </w:rPr>
              <w:t>分</w:t>
            </w:r>
          </w:p>
        </w:tc>
        <w:tc>
          <w:tcPr>
            <w:tcW w:w="1303" w:type="dxa"/>
            <w:noWrap w:val="0"/>
            <w:vAlign w:val="center"/>
          </w:tcPr>
          <w:p w14:paraId="5B7FCE84">
            <w:pPr>
              <w:spacing w:line="360" w:lineRule="auto"/>
              <w:rPr>
                <w:rFonts w:hint="eastAsia" w:ascii="宋体" w:hAnsi="宋体" w:eastAsia="宋体" w:cs="宋体"/>
              </w:rPr>
            </w:pPr>
          </w:p>
        </w:tc>
      </w:tr>
      <w:tr w14:paraId="524A9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31ABA536">
            <w:pPr>
              <w:spacing w:line="360" w:lineRule="auto"/>
              <w:rPr>
                <w:rFonts w:hint="eastAsia" w:ascii="宋体" w:hAnsi="宋体" w:eastAsia="宋体" w:cs="宋体"/>
                <w:lang w:val="en-US" w:eastAsia="zh-CN"/>
              </w:rPr>
            </w:pPr>
            <w:r>
              <w:rPr>
                <w:rFonts w:hint="eastAsia" w:ascii="宋体" w:hAnsi="宋体" w:eastAsia="宋体" w:cs="宋体"/>
                <w:lang w:val="en-US" w:eastAsia="zh-CN"/>
              </w:rPr>
              <w:t>2.3</w:t>
            </w:r>
          </w:p>
        </w:tc>
        <w:tc>
          <w:tcPr>
            <w:tcW w:w="1212" w:type="dxa"/>
            <w:noWrap w:val="0"/>
            <w:vAlign w:val="center"/>
          </w:tcPr>
          <w:p w14:paraId="478ACDA8">
            <w:pPr>
              <w:spacing w:line="360" w:lineRule="auto"/>
              <w:rPr>
                <w:rFonts w:hint="eastAsia" w:ascii="宋体" w:hAnsi="宋体" w:eastAsia="宋体" w:cs="宋体"/>
                <w:lang w:val="en-US" w:eastAsia="zh-CN"/>
              </w:rPr>
            </w:pPr>
            <w:r>
              <w:rPr>
                <w:rFonts w:hint="eastAsia" w:ascii="宋体" w:hAnsi="宋体" w:eastAsia="宋体" w:cs="宋体"/>
              </w:rPr>
              <w:t>工期安排与进度控制</w:t>
            </w:r>
          </w:p>
        </w:tc>
        <w:tc>
          <w:tcPr>
            <w:tcW w:w="5464" w:type="dxa"/>
            <w:noWrap w:val="0"/>
            <w:vAlign w:val="top"/>
          </w:tcPr>
          <w:p w14:paraId="133B1ED1">
            <w:pPr>
              <w:spacing w:line="360" w:lineRule="auto"/>
              <w:rPr>
                <w:rFonts w:hint="eastAsia" w:ascii="宋体" w:hAnsi="宋体" w:eastAsia="宋体" w:cs="宋体"/>
                <w:lang w:val="en-US" w:eastAsia="zh-CN"/>
              </w:rPr>
            </w:pPr>
            <w:r>
              <w:rPr>
                <w:rFonts w:hint="default" w:ascii="宋体" w:hAnsi="宋体" w:eastAsia="宋体" w:cs="宋体"/>
              </w:rPr>
              <w:t xml:space="preserve">- 一档（0-2 分）：工期计划不符合要求（超过 </w:t>
            </w:r>
            <w:r>
              <w:rPr>
                <w:rFonts w:hint="eastAsia" w:ascii="宋体" w:hAnsi="宋体" w:cs="宋体"/>
                <w:lang w:val="en-US" w:eastAsia="zh-CN"/>
              </w:rPr>
              <w:t>20</w:t>
            </w:r>
            <w:r>
              <w:rPr>
                <w:rFonts w:hint="default" w:ascii="宋体" w:hAnsi="宋体" w:eastAsia="宋体" w:cs="宋体"/>
              </w:rPr>
              <w:t xml:space="preserve"> 个日历日），无详细进度节点；</w:t>
            </w:r>
            <w:r>
              <w:rPr>
                <w:rFonts w:hint="default" w:ascii="宋体" w:hAnsi="宋体" w:eastAsia="宋体" w:cs="宋体"/>
              </w:rPr>
              <w:br w:type="textWrapping"/>
            </w:r>
            <w:r>
              <w:rPr>
                <w:rFonts w:hint="default" w:ascii="宋体" w:hAnsi="宋体" w:eastAsia="宋体" w:cs="宋体"/>
              </w:rPr>
              <w:t>- 二档（3-5 分）：工期计划基本满足要求（1</w:t>
            </w:r>
            <w:r>
              <w:rPr>
                <w:rFonts w:hint="eastAsia" w:ascii="宋体" w:hAnsi="宋体" w:cs="宋体"/>
                <w:lang w:val="en-US" w:eastAsia="zh-CN"/>
              </w:rPr>
              <w:t>6</w:t>
            </w:r>
            <w:r>
              <w:rPr>
                <w:rFonts w:hint="default" w:ascii="宋体" w:hAnsi="宋体" w:eastAsia="宋体" w:cs="宋体"/>
              </w:rPr>
              <w:t>-</w:t>
            </w:r>
            <w:r>
              <w:rPr>
                <w:rFonts w:hint="eastAsia" w:ascii="宋体" w:hAnsi="宋体" w:cs="宋体"/>
                <w:lang w:val="en-US" w:eastAsia="zh-CN"/>
              </w:rPr>
              <w:t>20</w:t>
            </w:r>
            <w:r>
              <w:rPr>
                <w:rFonts w:hint="default" w:ascii="宋体" w:hAnsi="宋体" w:eastAsia="宋体" w:cs="宋体"/>
              </w:rPr>
              <w:t xml:space="preserve"> 个日历日），进度节点较简单，保障措施不具体；</w:t>
            </w:r>
            <w:r>
              <w:rPr>
                <w:rFonts w:hint="default" w:ascii="宋体" w:hAnsi="宋体" w:eastAsia="宋体" w:cs="宋体"/>
              </w:rPr>
              <w:br w:type="textWrapping"/>
            </w:r>
            <w:r>
              <w:rPr>
                <w:rFonts w:hint="default" w:ascii="宋体" w:hAnsi="宋体" w:eastAsia="宋体" w:cs="宋体"/>
              </w:rPr>
              <w:t>- 三档（6-8 分）：工期计划合理（1</w:t>
            </w:r>
            <w:r>
              <w:rPr>
                <w:rFonts w:hint="eastAsia" w:ascii="宋体" w:hAnsi="宋体" w:cs="宋体"/>
                <w:lang w:val="en-US" w:eastAsia="zh-CN"/>
              </w:rPr>
              <w:t>1</w:t>
            </w:r>
            <w:r>
              <w:rPr>
                <w:rFonts w:hint="default" w:ascii="宋体" w:hAnsi="宋体" w:eastAsia="宋体" w:cs="宋体"/>
              </w:rPr>
              <w:t>-1</w:t>
            </w:r>
            <w:r>
              <w:rPr>
                <w:rFonts w:hint="eastAsia" w:ascii="宋体" w:hAnsi="宋体" w:cs="宋体"/>
                <w:lang w:val="en-US" w:eastAsia="zh-CN"/>
              </w:rPr>
              <w:t>5</w:t>
            </w:r>
            <w:r>
              <w:rPr>
                <w:rFonts w:hint="default" w:ascii="宋体" w:hAnsi="宋体" w:eastAsia="宋体" w:cs="宋体"/>
              </w:rPr>
              <w:t xml:space="preserve"> 个日历日），进度节点明确，有人员、设备投入计划以保障进度；</w:t>
            </w:r>
            <w:r>
              <w:rPr>
                <w:rFonts w:hint="default" w:ascii="宋体" w:hAnsi="宋体" w:eastAsia="宋体" w:cs="宋体"/>
              </w:rPr>
              <w:br w:type="textWrapping"/>
            </w:r>
            <w:r>
              <w:rPr>
                <w:rFonts w:hint="default" w:ascii="宋体" w:hAnsi="宋体" w:eastAsia="宋体" w:cs="宋体"/>
              </w:rPr>
              <w:t>- 四档（9-10 分）：工期计划科学（≤10 个日历日），分阶段进度安排详细，有进度延误预警机制和赶工措施，能确保按时完工。</w:t>
            </w:r>
          </w:p>
        </w:tc>
        <w:tc>
          <w:tcPr>
            <w:tcW w:w="1251" w:type="dxa"/>
            <w:noWrap w:val="0"/>
            <w:vAlign w:val="center"/>
          </w:tcPr>
          <w:p w14:paraId="1A68EE50">
            <w:pPr>
              <w:spacing w:line="360" w:lineRule="auto"/>
              <w:rPr>
                <w:rFonts w:hint="eastAsia" w:ascii="宋体" w:hAnsi="宋体" w:eastAsia="宋体" w:cs="宋体"/>
                <w:lang w:val="en-US" w:eastAsia="zh-CN"/>
              </w:rPr>
            </w:pPr>
            <w:r>
              <w:rPr>
                <w:rFonts w:hint="eastAsia" w:ascii="宋体" w:hAnsi="宋体" w:eastAsia="宋体" w:cs="宋体"/>
                <w:lang w:val="en-US" w:eastAsia="zh-CN"/>
              </w:rPr>
              <w:t>0-10分</w:t>
            </w:r>
          </w:p>
        </w:tc>
        <w:tc>
          <w:tcPr>
            <w:tcW w:w="1303" w:type="dxa"/>
            <w:noWrap w:val="0"/>
            <w:vAlign w:val="center"/>
          </w:tcPr>
          <w:p w14:paraId="51B8C210">
            <w:pPr>
              <w:spacing w:line="360" w:lineRule="auto"/>
              <w:rPr>
                <w:rFonts w:hint="eastAsia" w:ascii="宋体" w:hAnsi="宋体" w:eastAsia="宋体" w:cs="宋体"/>
              </w:rPr>
            </w:pPr>
          </w:p>
        </w:tc>
      </w:tr>
      <w:tr w14:paraId="53EC6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58214CBC">
            <w:pPr>
              <w:spacing w:line="360" w:lineRule="auto"/>
              <w:rPr>
                <w:rFonts w:hint="eastAsia" w:ascii="宋体" w:hAnsi="宋体" w:eastAsia="宋体" w:cs="宋体"/>
                <w:lang w:val="en-US" w:eastAsia="zh-CN"/>
              </w:rPr>
            </w:pPr>
            <w:r>
              <w:rPr>
                <w:rFonts w:hint="eastAsia" w:ascii="宋体" w:hAnsi="宋体" w:eastAsia="宋体" w:cs="宋体"/>
                <w:lang w:val="en-US" w:eastAsia="zh-CN"/>
              </w:rPr>
              <w:t>2.4</w:t>
            </w:r>
          </w:p>
        </w:tc>
        <w:tc>
          <w:tcPr>
            <w:tcW w:w="1212" w:type="dxa"/>
            <w:noWrap w:val="0"/>
            <w:vAlign w:val="center"/>
          </w:tcPr>
          <w:p w14:paraId="1CA464FB">
            <w:pPr>
              <w:spacing w:line="360" w:lineRule="auto"/>
              <w:rPr>
                <w:rFonts w:hint="eastAsia" w:ascii="宋体" w:hAnsi="宋体" w:eastAsia="宋体" w:cs="宋体"/>
                <w:lang w:val="en-US" w:eastAsia="zh-CN"/>
              </w:rPr>
            </w:pPr>
            <w:r>
              <w:rPr>
                <w:rFonts w:hint="eastAsia" w:ascii="宋体" w:hAnsi="宋体" w:eastAsia="宋体" w:cs="宋体"/>
              </w:rPr>
              <w:t>安全文明施工措施</w:t>
            </w:r>
          </w:p>
        </w:tc>
        <w:tc>
          <w:tcPr>
            <w:tcW w:w="5464" w:type="dxa"/>
            <w:noWrap w:val="0"/>
            <w:vAlign w:val="top"/>
          </w:tcPr>
          <w:p w14:paraId="789246FC">
            <w:pPr>
              <w:spacing w:line="360" w:lineRule="auto"/>
              <w:rPr>
                <w:rFonts w:hint="eastAsia" w:ascii="宋体" w:hAnsi="宋体" w:eastAsia="宋体" w:cs="宋体"/>
                <w:lang w:val="en-US" w:eastAsia="zh-CN"/>
              </w:rPr>
            </w:pPr>
            <w:r>
              <w:rPr>
                <w:rFonts w:hint="default" w:ascii="宋体" w:hAnsi="宋体" w:eastAsia="宋体" w:cs="宋体"/>
              </w:rPr>
              <w:t>- 一档（0-1 分）：安全文明施工措施欠缺，未提及高空作业防护、用电安全、现场围挡等基本要求；</w:t>
            </w:r>
            <w:r>
              <w:rPr>
                <w:rFonts w:hint="default" w:ascii="宋体" w:hAnsi="宋体" w:eastAsia="宋体" w:cs="宋体"/>
              </w:rPr>
              <w:br w:type="textWrapping"/>
            </w:r>
            <w:r>
              <w:rPr>
                <w:rFonts w:hint="default" w:ascii="宋体" w:hAnsi="宋体" w:eastAsia="宋体" w:cs="宋体"/>
              </w:rPr>
              <w:t>- 二档（2-3 分）：安全文明施工措施基本具备，包含高空作业安全带使用、施工区域警示标识设置等内容，但无应急预案；</w:t>
            </w:r>
            <w:r>
              <w:rPr>
                <w:rFonts w:hint="default" w:ascii="宋体" w:hAnsi="宋体" w:eastAsia="宋体" w:cs="宋体"/>
              </w:rPr>
              <w:br w:type="textWrapping"/>
            </w:r>
            <w:r>
              <w:rPr>
                <w:rFonts w:hint="default" w:ascii="宋体" w:hAnsi="宋体" w:eastAsia="宋体" w:cs="宋体"/>
              </w:rPr>
              <w:t>- 三档（4-5 分）：安全文明施工措施完善，涵盖施工人员安全培训、临时用电规范、建筑垃圾清运等，有针对恶劣天气、突发安全事故的应急预案。</w:t>
            </w:r>
          </w:p>
        </w:tc>
        <w:tc>
          <w:tcPr>
            <w:tcW w:w="1251" w:type="dxa"/>
            <w:noWrap w:val="0"/>
            <w:vAlign w:val="center"/>
          </w:tcPr>
          <w:p w14:paraId="7C350EA1">
            <w:pPr>
              <w:spacing w:line="360" w:lineRule="auto"/>
              <w:rPr>
                <w:rFonts w:hint="eastAsia" w:ascii="宋体" w:hAnsi="宋体" w:eastAsia="宋体" w:cs="宋体"/>
                <w:lang w:val="en-US" w:eastAsia="zh-CN"/>
              </w:rPr>
            </w:pPr>
            <w:r>
              <w:rPr>
                <w:rFonts w:hint="eastAsia" w:ascii="宋体" w:hAnsi="宋体" w:eastAsia="宋体" w:cs="宋体"/>
                <w:lang w:val="en-US" w:eastAsia="zh-CN"/>
              </w:rPr>
              <w:t>0-5分</w:t>
            </w:r>
          </w:p>
        </w:tc>
        <w:tc>
          <w:tcPr>
            <w:tcW w:w="1303" w:type="dxa"/>
            <w:noWrap w:val="0"/>
            <w:vAlign w:val="center"/>
          </w:tcPr>
          <w:p w14:paraId="608189CE">
            <w:pPr>
              <w:spacing w:line="360" w:lineRule="auto"/>
              <w:rPr>
                <w:rFonts w:hint="eastAsia" w:ascii="宋体" w:hAnsi="宋体" w:eastAsia="宋体" w:cs="宋体"/>
              </w:rPr>
            </w:pPr>
          </w:p>
        </w:tc>
      </w:tr>
      <w:tr w14:paraId="2BF76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34082263">
            <w:pPr>
              <w:spacing w:line="360" w:lineRule="auto"/>
              <w:rPr>
                <w:rFonts w:hint="eastAsia" w:ascii="宋体" w:hAnsi="宋体" w:eastAsia="宋体" w:cs="宋体"/>
                <w:lang w:val="en-US" w:eastAsia="zh-CN"/>
              </w:rPr>
            </w:pPr>
            <w:r>
              <w:rPr>
                <w:rFonts w:hint="eastAsia" w:ascii="宋体" w:hAnsi="宋体" w:eastAsia="宋体" w:cs="宋体"/>
                <w:lang w:val="en-US" w:eastAsia="zh-CN"/>
              </w:rPr>
              <w:t>3</w:t>
            </w:r>
          </w:p>
        </w:tc>
        <w:tc>
          <w:tcPr>
            <w:tcW w:w="1212" w:type="dxa"/>
            <w:noWrap w:val="0"/>
            <w:vAlign w:val="center"/>
          </w:tcPr>
          <w:p w14:paraId="6348F735">
            <w:pPr>
              <w:spacing w:line="360" w:lineRule="auto"/>
              <w:rPr>
                <w:rFonts w:hint="eastAsia" w:ascii="宋体" w:hAnsi="宋体" w:eastAsia="宋体" w:cs="宋体"/>
                <w:lang w:val="en-US" w:eastAsia="zh-CN"/>
              </w:rPr>
            </w:pPr>
            <w:r>
              <w:rPr>
                <w:rFonts w:hint="eastAsia" w:ascii="宋体" w:hAnsi="宋体" w:eastAsia="宋体" w:cs="宋体"/>
                <w:lang w:val="en-US" w:eastAsia="zh-CN"/>
              </w:rPr>
              <w:t>商务部分</w:t>
            </w:r>
          </w:p>
        </w:tc>
        <w:tc>
          <w:tcPr>
            <w:tcW w:w="5464" w:type="dxa"/>
            <w:noWrap w:val="0"/>
            <w:vAlign w:val="center"/>
          </w:tcPr>
          <w:p w14:paraId="6B4127E5">
            <w:pPr>
              <w:spacing w:line="360" w:lineRule="auto"/>
              <w:jc w:val="center"/>
              <w:rPr>
                <w:rFonts w:hint="eastAsia" w:ascii="宋体" w:hAnsi="宋体" w:eastAsia="宋体" w:cs="宋体"/>
              </w:rPr>
            </w:pPr>
            <w:r>
              <w:rPr>
                <w:rFonts w:hint="eastAsia" w:ascii="宋体" w:hAnsi="宋体" w:eastAsia="宋体" w:cs="宋体"/>
              </w:rPr>
              <w:t>评审因素</w:t>
            </w:r>
          </w:p>
        </w:tc>
        <w:tc>
          <w:tcPr>
            <w:tcW w:w="1251" w:type="dxa"/>
            <w:noWrap w:val="0"/>
            <w:vAlign w:val="center"/>
          </w:tcPr>
          <w:p w14:paraId="37B3B99D">
            <w:pPr>
              <w:spacing w:line="360" w:lineRule="auto"/>
              <w:rPr>
                <w:rFonts w:hint="eastAsia" w:ascii="宋体" w:hAnsi="宋体" w:eastAsia="宋体" w:cs="宋体"/>
                <w:lang w:val="en-US" w:eastAsia="zh-CN"/>
              </w:rPr>
            </w:pPr>
            <w:r>
              <w:rPr>
                <w:rFonts w:hint="eastAsia" w:ascii="宋体" w:hAnsi="宋体" w:eastAsia="宋体" w:cs="宋体"/>
                <w:lang w:val="en-US" w:eastAsia="zh-CN"/>
              </w:rPr>
              <w:t>商务分</w:t>
            </w:r>
            <w:r>
              <w:rPr>
                <w:rFonts w:hint="eastAsia" w:ascii="宋体" w:hAnsi="宋体" w:eastAsia="宋体" w:cs="宋体"/>
              </w:rPr>
              <w:t>（满分</w:t>
            </w:r>
            <w:r>
              <w:rPr>
                <w:rFonts w:hint="eastAsia" w:ascii="宋体" w:hAnsi="宋体" w:cs="宋体"/>
                <w:lang w:val="en-US" w:eastAsia="zh-CN"/>
              </w:rPr>
              <w:t>25</w:t>
            </w:r>
            <w:r>
              <w:rPr>
                <w:rFonts w:hint="eastAsia" w:ascii="宋体" w:hAnsi="宋体" w:eastAsia="宋体" w:cs="宋体"/>
              </w:rPr>
              <w:t>分）</w:t>
            </w:r>
          </w:p>
        </w:tc>
        <w:tc>
          <w:tcPr>
            <w:tcW w:w="1303" w:type="dxa"/>
            <w:noWrap w:val="0"/>
            <w:vAlign w:val="center"/>
          </w:tcPr>
          <w:p w14:paraId="16007C42">
            <w:pPr>
              <w:spacing w:line="360" w:lineRule="auto"/>
              <w:rPr>
                <w:rFonts w:hint="eastAsia" w:ascii="宋体" w:hAnsi="宋体" w:eastAsia="宋体" w:cs="宋体"/>
              </w:rPr>
            </w:pPr>
          </w:p>
        </w:tc>
      </w:tr>
      <w:tr w14:paraId="6C186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4269AC54">
            <w:pPr>
              <w:spacing w:line="360" w:lineRule="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cs="宋体"/>
                <w:lang w:val="en-US" w:eastAsia="zh-CN"/>
              </w:rPr>
              <w:t>1</w:t>
            </w:r>
          </w:p>
        </w:tc>
        <w:tc>
          <w:tcPr>
            <w:tcW w:w="1212" w:type="dxa"/>
            <w:noWrap w:val="0"/>
            <w:vAlign w:val="center"/>
          </w:tcPr>
          <w:p w14:paraId="51C67273">
            <w:pPr>
              <w:spacing w:line="360" w:lineRule="auto"/>
              <w:rPr>
                <w:rFonts w:hint="eastAsia" w:ascii="宋体" w:hAnsi="宋体" w:eastAsia="宋体" w:cs="宋体"/>
                <w:lang w:val="en-US" w:eastAsia="zh-CN"/>
              </w:rPr>
            </w:pPr>
            <w:r>
              <w:rPr>
                <w:rFonts w:hint="eastAsia" w:ascii="宋体" w:hAnsi="宋体" w:eastAsia="宋体" w:cs="宋体"/>
              </w:rPr>
              <w:t>类似项目业绩</w:t>
            </w:r>
          </w:p>
        </w:tc>
        <w:tc>
          <w:tcPr>
            <w:tcW w:w="5464" w:type="dxa"/>
            <w:noWrap w:val="0"/>
            <w:vAlign w:val="center"/>
          </w:tcPr>
          <w:p w14:paraId="59150828">
            <w:pPr>
              <w:spacing w:line="360" w:lineRule="auto"/>
              <w:rPr>
                <w:rFonts w:hint="eastAsia" w:ascii="宋体" w:hAnsi="宋体" w:eastAsia="宋体" w:cs="宋体"/>
                <w:lang w:val="en-US" w:eastAsia="zh-CN"/>
              </w:rPr>
            </w:pPr>
            <w:r>
              <w:rPr>
                <w:rFonts w:hint="default" w:ascii="宋体" w:hAnsi="宋体" w:eastAsia="宋体" w:cs="宋体"/>
              </w:rPr>
              <w:t>- 一档（0 分）：近 3 年内无类似不锈钢雨棚或钢结构装饰工程业绩；</w:t>
            </w:r>
            <w:r>
              <w:rPr>
                <w:rFonts w:hint="default" w:ascii="宋体" w:hAnsi="宋体" w:eastAsia="宋体" w:cs="宋体"/>
              </w:rPr>
              <w:br w:type="textWrapping"/>
            </w:r>
            <w:r>
              <w:rPr>
                <w:rFonts w:hint="default" w:ascii="宋体" w:hAnsi="宋体" w:eastAsia="宋体" w:cs="宋体"/>
              </w:rPr>
              <w:t>- 二档（3-8 分）：近 3 年内有 1-2 项类似业绩（单项合同额 10 万元及以上），提供合同或验收证明复印件；</w:t>
            </w:r>
            <w:r>
              <w:rPr>
                <w:rFonts w:hint="default" w:ascii="宋体" w:hAnsi="宋体" w:eastAsia="宋体" w:cs="宋体"/>
              </w:rPr>
              <w:br w:type="textWrapping"/>
            </w:r>
            <w:r>
              <w:rPr>
                <w:rFonts w:hint="default" w:ascii="宋体" w:hAnsi="宋体" w:eastAsia="宋体" w:cs="宋体"/>
              </w:rPr>
              <w:t>- 三档（9-15 分）：近 3 年内有 3 项及以上类似业绩（单项合同额 10 万元及以上），其中至少 1 项为医院或公共建筑雨棚项目，业绩证明材料完整。</w:t>
            </w:r>
          </w:p>
        </w:tc>
        <w:tc>
          <w:tcPr>
            <w:tcW w:w="1251" w:type="dxa"/>
            <w:noWrap w:val="0"/>
            <w:vAlign w:val="center"/>
          </w:tcPr>
          <w:p w14:paraId="2DC4C7D9">
            <w:pPr>
              <w:spacing w:line="360" w:lineRule="auto"/>
              <w:rPr>
                <w:rFonts w:hint="eastAsia" w:ascii="宋体" w:hAnsi="宋体" w:eastAsia="宋体" w:cs="宋体"/>
                <w:lang w:val="en-US" w:eastAsia="zh-CN"/>
              </w:rPr>
            </w:pPr>
            <w:r>
              <w:rPr>
                <w:rFonts w:hint="eastAsia" w:ascii="宋体" w:hAnsi="宋体" w:eastAsia="宋体" w:cs="宋体"/>
                <w:lang w:val="en-US" w:eastAsia="zh-CN"/>
              </w:rPr>
              <w:t>0-</w:t>
            </w:r>
            <w:r>
              <w:rPr>
                <w:rFonts w:hint="eastAsia" w:ascii="宋体" w:hAnsi="宋体" w:cs="宋体"/>
                <w:lang w:val="en-US" w:eastAsia="zh-CN"/>
              </w:rPr>
              <w:t>15</w:t>
            </w:r>
            <w:r>
              <w:rPr>
                <w:rFonts w:hint="eastAsia" w:ascii="宋体" w:hAnsi="宋体" w:eastAsia="宋体" w:cs="宋体"/>
                <w:lang w:val="en-US" w:eastAsia="zh-CN"/>
              </w:rPr>
              <w:t>分</w:t>
            </w:r>
          </w:p>
        </w:tc>
        <w:tc>
          <w:tcPr>
            <w:tcW w:w="1303" w:type="dxa"/>
            <w:noWrap w:val="0"/>
            <w:vAlign w:val="center"/>
          </w:tcPr>
          <w:p w14:paraId="6837232B">
            <w:pPr>
              <w:spacing w:line="360" w:lineRule="auto"/>
              <w:rPr>
                <w:rFonts w:hint="eastAsia" w:ascii="宋体" w:hAnsi="宋体" w:eastAsia="宋体" w:cs="宋体"/>
              </w:rPr>
            </w:pPr>
          </w:p>
        </w:tc>
      </w:tr>
      <w:tr w14:paraId="3EE15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2" w:hRule="atLeast"/>
        </w:trPr>
        <w:tc>
          <w:tcPr>
            <w:tcW w:w="690" w:type="dxa"/>
            <w:noWrap w:val="0"/>
            <w:vAlign w:val="center"/>
          </w:tcPr>
          <w:p w14:paraId="5CDCBAF6">
            <w:pPr>
              <w:spacing w:line="360" w:lineRule="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cs="宋体"/>
                <w:lang w:val="en-US" w:eastAsia="zh-CN"/>
              </w:rPr>
              <w:t>2</w:t>
            </w:r>
          </w:p>
        </w:tc>
        <w:tc>
          <w:tcPr>
            <w:tcW w:w="1212" w:type="dxa"/>
            <w:noWrap w:val="0"/>
            <w:vAlign w:val="center"/>
          </w:tcPr>
          <w:p w14:paraId="1F249771">
            <w:pPr>
              <w:spacing w:line="360" w:lineRule="auto"/>
              <w:rPr>
                <w:rFonts w:hint="eastAsia" w:ascii="宋体" w:hAnsi="宋体" w:eastAsia="宋体" w:cs="宋体"/>
                <w:lang w:val="en-US" w:eastAsia="zh-CN"/>
              </w:rPr>
            </w:pPr>
            <w:r>
              <w:rPr>
                <w:rFonts w:hint="eastAsia" w:ascii="宋体" w:hAnsi="宋体" w:eastAsia="宋体" w:cs="宋体"/>
                <w:lang w:val="en-US" w:eastAsia="zh-CN"/>
              </w:rPr>
              <w:t>企业信誉</w:t>
            </w:r>
          </w:p>
        </w:tc>
        <w:tc>
          <w:tcPr>
            <w:tcW w:w="5464" w:type="dxa"/>
            <w:noWrap w:val="0"/>
            <w:vAlign w:val="center"/>
          </w:tcPr>
          <w:p w14:paraId="669AB329">
            <w:pPr>
              <w:spacing w:line="360" w:lineRule="auto"/>
              <w:rPr>
                <w:rFonts w:hint="eastAsia" w:ascii="宋体" w:hAnsi="宋体" w:eastAsia="宋体" w:cs="宋体"/>
                <w:lang w:val="en-US" w:eastAsia="zh-CN"/>
              </w:rPr>
            </w:pPr>
            <w:r>
              <w:rPr>
                <w:rFonts w:hint="default" w:ascii="宋体" w:hAnsi="宋体" w:eastAsia="宋体" w:cs="宋体"/>
              </w:rPr>
              <w:t>- 一档（0 分）：被 “信用中国” 等平台列入失信名单或有重大违法记录；</w:t>
            </w:r>
            <w:r>
              <w:rPr>
                <w:rFonts w:hint="default" w:ascii="宋体" w:hAnsi="宋体" w:eastAsia="宋体" w:cs="宋体"/>
              </w:rPr>
              <w:br w:type="textWrapping"/>
            </w:r>
            <w:r>
              <w:rPr>
                <w:rFonts w:hint="default" w:ascii="宋体" w:hAnsi="宋体" w:eastAsia="宋体" w:cs="宋体"/>
              </w:rPr>
              <w:t>- 二档（2 分）：未被列入失信名单，无不良记录；</w:t>
            </w:r>
            <w:r>
              <w:rPr>
                <w:rFonts w:hint="default" w:ascii="宋体" w:hAnsi="宋体" w:eastAsia="宋体" w:cs="宋体"/>
              </w:rPr>
              <w:br w:type="textWrapping"/>
            </w:r>
            <w:r>
              <w:rPr>
                <w:rFonts w:hint="default" w:ascii="宋体" w:hAnsi="宋体" w:eastAsia="宋体" w:cs="宋体"/>
              </w:rPr>
              <w:t>- 三档（3-5 分）：未被列入失信名单，且近 3 年内获得过行业协会颁发的诚信企业、优质工程等荣誉（每项荣誉得 1 分，最高 5 分）。</w:t>
            </w:r>
          </w:p>
        </w:tc>
        <w:tc>
          <w:tcPr>
            <w:tcW w:w="1251" w:type="dxa"/>
            <w:noWrap w:val="0"/>
            <w:vAlign w:val="center"/>
          </w:tcPr>
          <w:p w14:paraId="297C2DFE">
            <w:pPr>
              <w:spacing w:line="360" w:lineRule="auto"/>
              <w:rPr>
                <w:rFonts w:hint="eastAsia" w:ascii="宋体" w:hAnsi="宋体" w:eastAsia="宋体" w:cs="宋体"/>
                <w:lang w:val="en-US" w:eastAsia="zh-CN"/>
              </w:rPr>
            </w:pPr>
            <w:r>
              <w:rPr>
                <w:rFonts w:hint="eastAsia" w:ascii="宋体" w:hAnsi="宋体" w:eastAsia="宋体" w:cs="宋体"/>
                <w:lang w:val="en-US" w:eastAsia="zh-CN"/>
              </w:rPr>
              <w:t>0-5分</w:t>
            </w:r>
          </w:p>
        </w:tc>
        <w:tc>
          <w:tcPr>
            <w:tcW w:w="1303" w:type="dxa"/>
            <w:noWrap w:val="0"/>
            <w:vAlign w:val="center"/>
          </w:tcPr>
          <w:p w14:paraId="0CECE572">
            <w:pPr>
              <w:spacing w:line="360" w:lineRule="auto"/>
              <w:rPr>
                <w:rFonts w:hint="eastAsia" w:ascii="宋体" w:hAnsi="宋体" w:eastAsia="宋体" w:cs="宋体"/>
              </w:rPr>
            </w:pPr>
          </w:p>
        </w:tc>
      </w:tr>
      <w:tr w14:paraId="44125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431DD1AF">
            <w:pPr>
              <w:spacing w:line="360" w:lineRule="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cs="宋体"/>
                <w:lang w:val="en-US" w:eastAsia="zh-CN"/>
              </w:rPr>
              <w:t>3</w:t>
            </w:r>
          </w:p>
        </w:tc>
        <w:tc>
          <w:tcPr>
            <w:tcW w:w="1212" w:type="dxa"/>
            <w:noWrap w:val="0"/>
            <w:vAlign w:val="center"/>
          </w:tcPr>
          <w:p w14:paraId="5B8F19A4">
            <w:pPr>
              <w:spacing w:line="360" w:lineRule="auto"/>
              <w:rPr>
                <w:rFonts w:hint="eastAsia" w:ascii="宋体" w:hAnsi="宋体" w:eastAsia="宋体" w:cs="宋体"/>
                <w:lang w:val="en-US" w:eastAsia="zh-CN"/>
              </w:rPr>
            </w:pPr>
            <w:r>
              <w:rPr>
                <w:rFonts w:hint="eastAsia" w:ascii="宋体" w:hAnsi="宋体" w:cs="宋体"/>
                <w:lang w:val="en-US" w:eastAsia="zh-CN"/>
              </w:rPr>
              <w:t>售后</w:t>
            </w:r>
            <w:r>
              <w:rPr>
                <w:rFonts w:hint="eastAsia" w:ascii="宋体" w:hAnsi="宋体" w:eastAsia="宋体" w:cs="宋体"/>
              </w:rPr>
              <w:t>服务</w:t>
            </w:r>
            <w:r>
              <w:rPr>
                <w:rFonts w:hint="eastAsia" w:ascii="宋体" w:hAnsi="宋体" w:cs="宋体"/>
                <w:lang w:val="en-US" w:eastAsia="zh-CN"/>
              </w:rPr>
              <w:t>方案与</w:t>
            </w:r>
            <w:r>
              <w:rPr>
                <w:rFonts w:hint="eastAsia" w:ascii="宋体" w:hAnsi="宋体" w:eastAsia="宋体" w:cs="宋体"/>
              </w:rPr>
              <w:t>承诺</w:t>
            </w:r>
          </w:p>
        </w:tc>
        <w:tc>
          <w:tcPr>
            <w:tcW w:w="5464" w:type="dxa"/>
            <w:noWrap w:val="0"/>
            <w:vAlign w:val="center"/>
          </w:tcPr>
          <w:p w14:paraId="4DE32A91">
            <w:pPr>
              <w:spacing w:line="360" w:lineRule="auto"/>
              <w:rPr>
                <w:rFonts w:hint="eastAsia" w:ascii="宋体" w:hAnsi="宋体" w:eastAsia="宋体" w:cs="宋体"/>
                <w:lang w:val="en-US" w:eastAsia="zh-CN"/>
              </w:rPr>
            </w:pPr>
            <w:r>
              <w:rPr>
                <w:rFonts w:hint="default" w:ascii="宋体" w:hAnsi="宋体" w:eastAsia="宋体" w:cs="宋体"/>
              </w:rPr>
              <w:t>- 一档（0-1 分）：售后服务方案简单，未明确保修期（少于 1 年）和响应时间；</w:t>
            </w:r>
            <w:r>
              <w:rPr>
                <w:rFonts w:hint="default" w:ascii="宋体" w:hAnsi="宋体" w:eastAsia="宋体" w:cs="宋体"/>
              </w:rPr>
              <w:br w:type="textWrapping"/>
            </w:r>
            <w:r>
              <w:rPr>
                <w:rFonts w:hint="default" w:ascii="宋体" w:hAnsi="宋体" w:eastAsia="宋体" w:cs="宋体"/>
              </w:rPr>
              <w:t>- 二档（2-3 分）：售后服务方案基本可行，保修期不低于 1 年，承诺 24 小时内响应，有基本维修安排；</w:t>
            </w:r>
            <w:r>
              <w:rPr>
                <w:rFonts w:hint="default" w:ascii="宋体" w:hAnsi="宋体" w:eastAsia="宋体" w:cs="宋体"/>
              </w:rPr>
              <w:br w:type="textWrapping"/>
            </w:r>
            <w:r>
              <w:rPr>
                <w:rFonts w:hint="default" w:ascii="宋体" w:hAnsi="宋体" w:eastAsia="宋体" w:cs="宋体"/>
              </w:rPr>
              <w:t>- 三档（4-5 分）：售后服务方案完善，保修期不低于 2 年，承诺 12 小时内响应、24 小时内到场维修，有专门售后团队及备品备件保障。</w:t>
            </w:r>
          </w:p>
        </w:tc>
        <w:tc>
          <w:tcPr>
            <w:tcW w:w="1251" w:type="dxa"/>
            <w:noWrap w:val="0"/>
            <w:vAlign w:val="center"/>
          </w:tcPr>
          <w:p w14:paraId="63E04D05">
            <w:pPr>
              <w:spacing w:line="360" w:lineRule="auto"/>
              <w:rPr>
                <w:rFonts w:hint="eastAsia" w:ascii="宋体" w:hAnsi="宋体" w:eastAsia="宋体" w:cs="宋体"/>
                <w:lang w:val="en-US" w:eastAsia="zh-CN"/>
              </w:rPr>
            </w:pPr>
            <w:r>
              <w:rPr>
                <w:rFonts w:hint="eastAsia" w:ascii="宋体" w:hAnsi="宋体" w:eastAsia="宋体" w:cs="宋体"/>
                <w:lang w:val="en-US" w:eastAsia="zh-CN"/>
              </w:rPr>
              <w:t>0-5分</w:t>
            </w:r>
          </w:p>
        </w:tc>
        <w:tc>
          <w:tcPr>
            <w:tcW w:w="1303" w:type="dxa"/>
            <w:noWrap w:val="0"/>
            <w:vAlign w:val="center"/>
          </w:tcPr>
          <w:p w14:paraId="671F8BEC">
            <w:pPr>
              <w:spacing w:line="360" w:lineRule="auto"/>
              <w:rPr>
                <w:rFonts w:hint="eastAsia" w:ascii="宋体" w:hAnsi="宋体" w:eastAsia="宋体" w:cs="宋体"/>
              </w:rPr>
            </w:pPr>
          </w:p>
        </w:tc>
      </w:tr>
      <w:tr w14:paraId="4F7B9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366" w:type="dxa"/>
            <w:gridSpan w:val="3"/>
            <w:noWrap w:val="0"/>
            <w:vAlign w:val="center"/>
          </w:tcPr>
          <w:p w14:paraId="2F213B15">
            <w:pPr>
              <w:spacing w:line="360" w:lineRule="auto"/>
              <w:rPr>
                <w:rFonts w:hint="eastAsia" w:ascii="宋体" w:hAnsi="宋体" w:eastAsia="宋体" w:cs="宋体"/>
                <w:lang w:val="en-US" w:eastAsia="zh-CN"/>
              </w:rPr>
            </w:pPr>
            <w:r>
              <w:rPr>
                <w:rFonts w:hint="eastAsia" w:ascii="宋体" w:hAnsi="宋体" w:eastAsia="宋体" w:cs="宋体"/>
              </w:rPr>
              <w:t>总得分</w:t>
            </w:r>
            <w:r>
              <w:rPr>
                <w:rFonts w:hint="eastAsia" w:ascii="宋体" w:hAnsi="宋体" w:eastAsia="宋体" w:cs="宋体"/>
                <w:lang w:val="en-US" w:eastAsia="zh-CN"/>
              </w:rPr>
              <w:t>100分</w:t>
            </w:r>
            <w:r>
              <w:rPr>
                <w:rFonts w:hint="eastAsia" w:ascii="宋体" w:hAnsi="宋体" w:eastAsia="宋体" w:cs="宋体"/>
              </w:rPr>
              <w:t>（100分）1＋2＋3</w:t>
            </w:r>
          </w:p>
        </w:tc>
        <w:tc>
          <w:tcPr>
            <w:tcW w:w="1251" w:type="dxa"/>
            <w:noWrap w:val="0"/>
            <w:vAlign w:val="center"/>
          </w:tcPr>
          <w:p w14:paraId="54DD0F08">
            <w:pPr>
              <w:spacing w:line="360" w:lineRule="auto"/>
              <w:rPr>
                <w:rFonts w:hint="eastAsia" w:ascii="宋体" w:hAnsi="宋体" w:eastAsia="宋体" w:cs="宋体"/>
                <w:lang w:val="en-US" w:eastAsia="zh-CN"/>
              </w:rPr>
            </w:pPr>
            <w:r>
              <w:rPr>
                <w:rFonts w:hint="eastAsia" w:ascii="宋体" w:hAnsi="宋体" w:eastAsia="宋体" w:cs="宋体"/>
                <w:lang w:val="en-US" w:eastAsia="zh-CN"/>
              </w:rPr>
              <w:t>总分100分</w:t>
            </w:r>
          </w:p>
        </w:tc>
        <w:tc>
          <w:tcPr>
            <w:tcW w:w="1303" w:type="dxa"/>
            <w:noWrap w:val="0"/>
            <w:vAlign w:val="center"/>
          </w:tcPr>
          <w:p w14:paraId="2D1ED618">
            <w:pPr>
              <w:spacing w:line="360" w:lineRule="auto"/>
              <w:rPr>
                <w:rFonts w:hint="eastAsia" w:ascii="宋体" w:hAnsi="宋体" w:eastAsia="宋体" w:cs="宋体"/>
              </w:rPr>
            </w:pPr>
          </w:p>
        </w:tc>
      </w:tr>
      <w:tr w14:paraId="60CA5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8C44E09">
            <w:pPr>
              <w:spacing w:line="360" w:lineRule="auto"/>
              <w:rPr>
                <w:rFonts w:hint="eastAsia" w:ascii="宋体" w:hAnsi="宋体" w:eastAsia="宋体" w:cs="宋体"/>
                <w:lang w:val="en-US" w:eastAsia="zh-CN"/>
              </w:rPr>
            </w:pPr>
            <w:r>
              <w:rPr>
                <w:rFonts w:hint="eastAsia" w:ascii="宋体" w:hAnsi="宋体" w:eastAsia="宋体" w:cs="宋体"/>
                <w:lang w:val="en-US" w:eastAsia="zh-CN"/>
              </w:rPr>
              <w:t>评委专家签字：</w:t>
            </w:r>
          </w:p>
        </w:tc>
      </w:tr>
    </w:tbl>
    <w:p w14:paraId="4DC009BE">
      <w:pPr>
        <w:tabs>
          <w:tab w:val="left" w:pos="1956"/>
        </w:tabs>
        <w:bidi w:val="0"/>
        <w:jc w:val="left"/>
        <w:rPr>
          <w:rFonts w:hint="eastAsia"/>
          <w:lang w:val="en-US" w:eastAsia="zh-CN"/>
        </w:rPr>
      </w:pPr>
    </w:p>
    <w:p w14:paraId="1813D9DC">
      <w:pPr>
        <w:spacing w:line="360" w:lineRule="auto"/>
        <w:rPr>
          <w:rFonts w:hint="eastAsia" w:ascii="宋体" w:hAnsi="宋体" w:eastAsia="宋体" w:cs="宋体"/>
          <w:lang w:val="en-US" w:eastAsia="zh-CN"/>
        </w:rPr>
      </w:pPr>
      <w:r>
        <w:rPr>
          <w:rFonts w:hint="default" w:ascii="宋体" w:hAnsi="宋体" w:eastAsia="宋体" w:cs="宋体"/>
        </w:rPr>
        <w:t>注：评委根据各供应商实际情况对照评分标准打分，总分 = 价格分 + 技术分 + 商务分，按总分从高到低排序确定成交候选人。</w:t>
      </w: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融水苗族自治县人民医院3号楼新增不锈钢骨架耐力板面层雨棚采购项目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42融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8E3BBB"/>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5D7B2D"/>
    <w:rsid w:val="12624FB7"/>
    <w:rsid w:val="12883761"/>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DC29CA"/>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3E28"/>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067C30"/>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4F388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0E7A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0513E"/>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1F3AC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A2515B"/>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87107B"/>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5F6439"/>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7CE48E7"/>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BE2620E"/>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33461"/>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5"/>
    <w:link w:val="160"/>
    <w:qFormat/>
    <w:uiPriority w:val="0"/>
    <w:pPr>
      <w:keepNext/>
      <w:keepLines/>
      <w:spacing w:before="260" w:after="260" w:line="413" w:lineRule="auto"/>
      <w:outlineLvl w:val="2"/>
    </w:pPr>
    <w:rPr>
      <w:b/>
      <w:bCs/>
      <w:sz w:val="32"/>
      <w:szCs w:val="32"/>
    </w:rPr>
  </w:style>
  <w:style w:type="paragraph" w:styleId="6">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5"/>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5"/>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5"/>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5"/>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5"/>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5"/>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7"/>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6"/>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25</Pages>
  <Words>8588</Words>
  <Characters>9278</Characters>
  <Lines>298</Lines>
  <Paragraphs>84</Paragraphs>
  <TotalTime>0</TotalTime>
  <ScaleCrop>false</ScaleCrop>
  <LinksUpToDate>false</LinksUpToDate>
  <CharactersWithSpaces>10287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2025-07-01T09:42:00Z</cp:lastPrinted>
  <dcterms:modified xsi:type="dcterms:W3CDTF">2025-07-17T08:58:28Z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091D2E66E80747F5BF692F511AFA968D_13</vt:lpwstr>
  </property>
  <property fmtid="{D5CDD505-2E9C-101B-9397-08002B2CF9AE}" pid="13" name="KSOTemplateDocerSaveRecord">
    <vt:lpwstr>eyJoZGlkIjoiN2FhMjA5Nzg3ZTUyODEzNDdmNDIzNTVmNDRjOTFmZmIiLCJ1c2VySWQiOiIyNTI2MzkyOTgifQ==</vt:lpwstr>
  </property>
</Properties>
</file>