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217446030"/>
      <w:bookmarkStart w:id="1" w:name="_Toc183682338"/>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firstLine="72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项目名称：融水苗族自治县人民医院保安服务项目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eastAsia"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RYCG2025032</w:t>
      </w:r>
    </w:p>
    <w:p w14:paraId="2CC56893">
      <w:pPr>
        <w:snapToGrid w:val="0"/>
        <w:spacing w:line="360" w:lineRule="auto"/>
        <w:rPr>
          <w:rFonts w:hint="eastAsia" w:ascii="宋体" w:hAnsi="宋体" w:eastAsia="宋体" w:cs="宋体"/>
          <w:color w:val="auto"/>
          <w:sz w:val="36"/>
          <w:szCs w:val="36"/>
        </w:rPr>
      </w:pP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7"/>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2025年4月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4DE1A137">
      <w:pPr>
        <w:jc w:val="both"/>
        <w:rPr>
          <w:rFonts w:hint="eastAsia" w:ascii="宋体" w:hAnsi="宋体" w:eastAsia="宋体" w:cs="宋体"/>
          <w:b/>
          <w:bCs/>
          <w:color w:val="auto"/>
          <w:sz w:val="32"/>
          <w:szCs w:val="32"/>
          <w:highlight w:val="none"/>
        </w:rPr>
        <w:sectPr>
          <w:headerReference r:id="rId3"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360" w:lineRule="auto"/>
        <w:ind w:left="0" w:leftChars="0" w:firstLine="281" w:firstLineChars="100"/>
        <w:textAlignment w:val="auto"/>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3F2F0904">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_Toc28433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第二章</w:t>
      </w:r>
      <w:r>
        <w:rPr>
          <w:rFonts w:hint="eastAsia" w:ascii="宋体" w:hAnsi="宋体" w:eastAsia="宋体" w:cs="宋体"/>
          <w:sz w:val="28"/>
          <w:szCs w:val="28"/>
          <w:lang w:val="en-US" w:eastAsia="zh-CN"/>
        </w:rPr>
        <w:t xml:space="preserve">  招标要求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_Toc28433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第三章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_Toc6918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360" w:lineRule="auto"/>
        <w:ind w:left="0" w:leftChars="0" w:firstLine="281" w:firstLineChars="100"/>
        <w:textAlignment w:val="auto"/>
        <w:rPr>
          <w:rFonts w:hint="eastAsia"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_Toc4512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6</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360" w:lineRule="auto"/>
        <w:ind w:left="0" w:leftChars="0" w:firstLine="281" w:firstLineChars="100"/>
        <w:textAlignment w:val="auto"/>
        <w:rPr>
          <w:rFonts w:hint="eastAsia"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_Toc30548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7</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360" w:lineRule="auto"/>
        <w:ind w:left="0" w:leftChars="0" w:firstLine="281" w:firstLineChars="100"/>
        <w:textAlignment w:val="auto"/>
        <w:rPr>
          <w:rFonts w:hint="eastAsia"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_Toc32478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8</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360" w:lineRule="auto"/>
        <w:ind w:left="0" w:leftChars="0" w:firstLine="281" w:firstLineChars="100"/>
        <w:textAlignment w:val="auto"/>
        <w:rPr>
          <w:rFonts w:hint="eastAsia"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_Toc16064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10</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360" w:lineRule="auto"/>
        <w:ind w:left="0" w:leftChars="0" w:firstLine="281" w:firstLineChars="100"/>
        <w:textAlignment w:val="auto"/>
        <w:rPr>
          <w:rFonts w:hint="eastAsia"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_Toc14922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11</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360" w:lineRule="auto"/>
        <w:ind w:left="0" w:leftChars="0" w:firstLine="281" w:firstLineChars="100"/>
        <w:textAlignment w:val="auto"/>
        <w:rPr>
          <w:rFonts w:hint="eastAsia"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_Toc6668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12</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360" w:lineRule="auto"/>
        <w:ind w:left="0" w:leftChars="0" w:firstLine="281" w:firstLineChars="100"/>
        <w:textAlignment w:val="auto"/>
        <w:rPr>
          <w:rFonts w:hint="eastAsia"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_Toc14295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13</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p>
    <w:p w14:paraId="6877C9D6">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_Toc19121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第四章  评审办法及评审标准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_Toc19121 \h </w:instrText>
      </w:r>
      <w:r>
        <w:rPr>
          <w:rFonts w:hint="eastAsia" w:ascii="宋体" w:hAnsi="宋体" w:eastAsia="宋体" w:cs="宋体"/>
          <w:sz w:val="28"/>
          <w:szCs w:val="28"/>
        </w:rPr>
        <w:fldChar w:fldCharType="separate"/>
      </w:r>
      <w:r>
        <w:rPr>
          <w:rFonts w:hint="eastAsia"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36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00342AEE">
      <w:pPr>
        <w:pStyle w:val="19"/>
        <w:rPr>
          <w:rFonts w:hint="eastAsia" w:ascii="宋体" w:hAnsi="宋体" w:eastAsia="宋体" w:cs="宋体"/>
          <w:color w:val="auto"/>
          <w:sz w:val="32"/>
          <w:szCs w:val="32"/>
          <w:highlight w:val="none"/>
        </w:rPr>
      </w:pPr>
    </w:p>
    <w:p w14:paraId="1D07C215">
      <w:pPr>
        <w:rPr>
          <w:rFonts w:hint="eastAsia" w:ascii="宋体" w:hAnsi="宋体" w:eastAsia="宋体" w:cs="宋体"/>
          <w:color w:val="auto"/>
          <w:sz w:val="32"/>
          <w:szCs w:val="32"/>
          <w:highlight w:val="none"/>
        </w:rPr>
      </w:pPr>
    </w:p>
    <w:p w14:paraId="62B6185F">
      <w:pPr>
        <w:pStyle w:val="32"/>
        <w:rPr>
          <w:rFonts w:hint="eastAsia" w:ascii="宋体" w:hAnsi="宋体" w:eastAsia="宋体" w:cs="宋体"/>
          <w:color w:val="auto"/>
          <w:sz w:val="32"/>
          <w:szCs w:val="32"/>
          <w:highlight w:val="none"/>
        </w:rPr>
      </w:pPr>
    </w:p>
    <w:p w14:paraId="78F9103C">
      <w:pPr>
        <w:pStyle w:val="32"/>
        <w:rPr>
          <w:rFonts w:hint="eastAsia" w:ascii="宋体" w:hAnsi="宋体" w:eastAsia="宋体" w:cs="宋体"/>
          <w:color w:val="auto"/>
          <w:sz w:val="32"/>
          <w:szCs w:val="32"/>
          <w:highlight w:val="none"/>
        </w:rPr>
      </w:pPr>
    </w:p>
    <w:p w14:paraId="57529539">
      <w:pPr>
        <w:pStyle w:val="32"/>
        <w:rPr>
          <w:rFonts w:hint="eastAsia" w:ascii="宋体" w:hAnsi="宋体" w:eastAsia="宋体" w:cs="宋体"/>
          <w:color w:val="auto"/>
          <w:sz w:val="32"/>
          <w:szCs w:val="32"/>
          <w:highlight w:val="none"/>
        </w:rPr>
      </w:pPr>
    </w:p>
    <w:p w14:paraId="5FEBCCCD">
      <w:pPr>
        <w:pStyle w:val="32"/>
        <w:rPr>
          <w:rFonts w:hint="eastAsia" w:ascii="宋体" w:hAnsi="宋体" w:eastAsia="宋体" w:cs="宋体"/>
          <w:color w:val="auto"/>
          <w:sz w:val="32"/>
          <w:szCs w:val="32"/>
          <w:highlight w:val="none"/>
        </w:rPr>
      </w:pPr>
    </w:p>
    <w:p w14:paraId="5844D633">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5D263944">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rPr>
      </w:pPr>
      <w:bookmarkStart w:id="2" w:name="_Toc29532"/>
      <w:bookmarkStart w:id="3" w:name="_Toc9971"/>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241E3360">
      <w:pPr>
        <w:jc w:val="center"/>
        <w:rPr>
          <w:rFonts w:hint="eastAsia" w:ascii="宋体" w:hAnsi="宋体" w:eastAsia="宋体" w:cs="宋体"/>
          <w:b/>
          <w:bCs/>
          <w:sz w:val="32"/>
          <w:szCs w:val="32"/>
        </w:rPr>
      </w:pPr>
    </w:p>
    <w:p w14:paraId="7C947BAD">
      <w:pPr>
        <w:jc w:val="center"/>
        <w:rPr>
          <w:rFonts w:hint="eastAsia" w:ascii="宋体" w:hAnsi="宋体" w:eastAsia="宋体" w:cs="宋体"/>
          <w:b/>
          <w:bCs/>
          <w:sz w:val="32"/>
          <w:szCs w:val="32"/>
        </w:rPr>
      </w:pPr>
      <w:r>
        <w:rPr>
          <w:rFonts w:hint="eastAsia" w:ascii="宋体" w:hAnsi="宋体" w:eastAsia="宋体" w:cs="宋体"/>
          <w:b/>
          <w:bCs/>
          <w:sz w:val="32"/>
          <w:szCs w:val="32"/>
        </w:rPr>
        <w:t>融水苗族自治县人民医院保安服务项目</w:t>
      </w:r>
    </w:p>
    <w:p w14:paraId="56D89C66">
      <w:pPr>
        <w:jc w:val="center"/>
        <w:rPr>
          <w:rFonts w:hint="eastAsia" w:ascii="宋体" w:hAnsi="宋体" w:eastAsia="宋体" w:cs="宋体"/>
          <w:b/>
          <w:bCs/>
          <w:sz w:val="40"/>
          <w:szCs w:val="48"/>
        </w:rPr>
      </w:pPr>
      <w:r>
        <w:rPr>
          <w:rFonts w:hint="eastAsia" w:ascii="宋体" w:hAnsi="宋体" w:eastAsia="宋体" w:cs="宋体"/>
          <w:b/>
          <w:bCs/>
          <w:sz w:val="32"/>
          <w:szCs w:val="32"/>
          <w:lang w:val="en-US" w:eastAsia="zh-CN"/>
        </w:rPr>
        <w:t>竞争性磋商</w:t>
      </w:r>
      <w:r>
        <w:rPr>
          <w:rFonts w:hint="eastAsia" w:ascii="宋体" w:hAnsi="宋体" w:eastAsia="宋体" w:cs="宋体"/>
          <w:b/>
          <w:bCs/>
          <w:sz w:val="32"/>
          <w:szCs w:val="32"/>
        </w:rPr>
        <w:t>公告</w:t>
      </w:r>
    </w:p>
    <w:p w14:paraId="7656567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sz w:val="28"/>
          <w:szCs w:val="36"/>
        </w:rPr>
      </w:pPr>
      <w:r>
        <w:rPr>
          <w:rFonts w:hint="eastAsia" w:ascii="宋体" w:hAnsi="宋体" w:eastAsia="宋体" w:cs="宋体"/>
          <w:sz w:val="28"/>
          <w:szCs w:val="36"/>
        </w:rPr>
        <w:t>融水苗族自治县人民医院拟于近期对</w:t>
      </w:r>
      <w:r>
        <w:rPr>
          <w:rFonts w:hint="eastAsia" w:ascii="宋体" w:hAnsi="宋体" w:eastAsia="宋体" w:cs="宋体"/>
          <w:sz w:val="28"/>
          <w:szCs w:val="36"/>
          <w:lang w:val="en-US" w:eastAsia="zh-CN"/>
        </w:rPr>
        <w:t>医院保安服务</w:t>
      </w:r>
      <w:r>
        <w:rPr>
          <w:rFonts w:hint="eastAsia" w:ascii="宋体" w:hAnsi="宋体" w:eastAsia="宋体" w:cs="宋体"/>
          <w:sz w:val="28"/>
          <w:szCs w:val="36"/>
        </w:rPr>
        <w:t>项目进行院内竞争性磋商，现将有关事项通知如下：</w:t>
      </w:r>
    </w:p>
    <w:p w14:paraId="42251F8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rPr>
        <w:t>一、项目名称</w:t>
      </w:r>
      <w:r>
        <w:rPr>
          <w:rFonts w:hint="eastAsia" w:ascii="宋体" w:hAnsi="宋体" w:eastAsia="宋体" w:cs="宋体"/>
          <w:sz w:val="28"/>
          <w:szCs w:val="36"/>
          <w:lang w:eastAsia="zh-CN"/>
        </w:rPr>
        <w:t>：</w:t>
      </w:r>
      <w:r>
        <w:rPr>
          <w:rFonts w:hint="eastAsia" w:ascii="宋体" w:hAnsi="宋体" w:eastAsia="宋体" w:cs="宋体"/>
          <w:sz w:val="28"/>
          <w:szCs w:val="36"/>
        </w:rPr>
        <w:t>融水苗族自治县人民医院保安服务项目</w:t>
      </w:r>
    </w:p>
    <w:p w14:paraId="59D0988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lang w:val="en-US" w:eastAsia="zh-CN"/>
        </w:rPr>
      </w:pPr>
      <w:r>
        <w:rPr>
          <w:rFonts w:hint="eastAsia" w:ascii="宋体" w:hAnsi="宋体" w:eastAsia="宋体" w:cs="宋体"/>
          <w:sz w:val="28"/>
          <w:szCs w:val="36"/>
        </w:rPr>
        <w:t>二、</w:t>
      </w:r>
      <w:r>
        <w:rPr>
          <w:rFonts w:hint="eastAsia" w:ascii="宋体" w:hAnsi="宋体" w:eastAsia="宋体" w:cs="宋体"/>
          <w:sz w:val="28"/>
          <w:szCs w:val="36"/>
          <w:lang w:val="en-US" w:eastAsia="zh-CN"/>
        </w:rPr>
        <w:t>项目编号：</w:t>
      </w:r>
      <w:r>
        <w:rPr>
          <w:rFonts w:hint="eastAsia" w:ascii="宋体" w:hAnsi="宋体" w:eastAsia="宋体" w:cs="宋体"/>
          <w:sz w:val="28"/>
          <w:szCs w:val="36"/>
        </w:rPr>
        <w:t>RYCG202503</w:t>
      </w:r>
      <w:r>
        <w:rPr>
          <w:rFonts w:hint="eastAsia" w:ascii="宋体" w:hAnsi="宋体" w:eastAsia="宋体" w:cs="宋体"/>
          <w:sz w:val="28"/>
          <w:szCs w:val="36"/>
          <w:lang w:val="en-US" w:eastAsia="zh-CN"/>
        </w:rPr>
        <w:t>2</w:t>
      </w:r>
    </w:p>
    <w:p w14:paraId="247D3D5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三</w:t>
      </w:r>
      <w:r>
        <w:rPr>
          <w:rFonts w:hint="eastAsia" w:ascii="宋体" w:hAnsi="宋体" w:eastAsia="宋体" w:cs="宋体"/>
          <w:sz w:val="28"/>
          <w:szCs w:val="36"/>
        </w:rPr>
        <w:t>、采购内容</w:t>
      </w:r>
    </w:p>
    <w:p w14:paraId="4EB09E5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1.</w:t>
      </w:r>
      <w:r>
        <w:rPr>
          <w:rFonts w:hint="eastAsia" w:ascii="宋体" w:hAnsi="宋体" w:eastAsia="宋体" w:cs="宋体"/>
          <w:sz w:val="28"/>
          <w:szCs w:val="36"/>
        </w:rPr>
        <w:t>服务范围：医院院区及周边区域的安全保卫、秩序维护、消防管理、应急处理等。</w:t>
      </w:r>
    </w:p>
    <w:p w14:paraId="1960CF3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2.</w:t>
      </w:r>
      <w:r>
        <w:rPr>
          <w:rFonts w:hint="eastAsia" w:ascii="宋体" w:hAnsi="宋体" w:eastAsia="宋体" w:cs="宋体"/>
          <w:sz w:val="28"/>
          <w:szCs w:val="36"/>
        </w:rPr>
        <w:t>服务期限：合同签订后1年，年度考核合格可续签，最长服务期限不超过3年。</w:t>
      </w:r>
    </w:p>
    <w:p w14:paraId="12ECF20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3.</w:t>
      </w:r>
      <w:r>
        <w:rPr>
          <w:rFonts w:hint="eastAsia" w:ascii="宋体" w:hAnsi="宋体" w:eastAsia="宋体" w:cs="宋体"/>
          <w:sz w:val="28"/>
          <w:szCs w:val="36"/>
        </w:rPr>
        <w:t>预算金额：每月服务费最高限价39,500.00元（人民币），总预算按实际服务月数结算。</w:t>
      </w:r>
    </w:p>
    <w:p w14:paraId="1612EE2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8"/>
          <w:szCs w:val="36"/>
          <w:lang w:val="en-US" w:eastAsia="zh-CN"/>
        </w:rPr>
      </w:pPr>
      <w:r>
        <w:rPr>
          <w:rFonts w:hint="eastAsia" w:ascii="宋体" w:hAnsi="宋体" w:eastAsia="宋体" w:cs="宋体"/>
          <w:sz w:val="28"/>
          <w:szCs w:val="36"/>
          <w:lang w:val="en-US" w:eastAsia="zh-CN"/>
        </w:rPr>
        <w:t>4</w:t>
      </w:r>
      <w:r>
        <w:rPr>
          <w:rFonts w:hint="eastAsia" w:ascii="宋体" w:hAnsi="宋体" w:eastAsia="宋体" w:cs="宋体"/>
          <w:color w:val="auto"/>
          <w:sz w:val="28"/>
          <w:szCs w:val="36"/>
          <w:lang w:val="en-US" w:eastAsia="zh-CN"/>
        </w:rPr>
        <w:t>.</w:t>
      </w:r>
      <w:r>
        <w:rPr>
          <w:rFonts w:hint="eastAsia" w:ascii="宋体" w:hAnsi="宋体" w:eastAsia="宋体" w:cs="宋体"/>
          <w:color w:val="auto"/>
          <w:sz w:val="28"/>
          <w:szCs w:val="36"/>
        </w:rPr>
        <w:t>数量标准：配置</w:t>
      </w:r>
      <w:r>
        <w:rPr>
          <w:rFonts w:hint="eastAsia" w:ascii="宋体" w:hAnsi="宋体" w:eastAsia="宋体" w:cs="宋体"/>
          <w:color w:val="auto"/>
          <w:sz w:val="28"/>
          <w:szCs w:val="36"/>
          <w:lang w:val="en-US" w:eastAsia="zh-CN"/>
        </w:rPr>
        <w:t>保安人数</w:t>
      </w:r>
      <w:r>
        <w:rPr>
          <w:rFonts w:hint="eastAsia" w:ascii="宋体" w:hAnsi="宋体" w:eastAsia="宋体" w:cs="宋体"/>
          <w:color w:val="auto"/>
          <w:sz w:val="28"/>
          <w:szCs w:val="36"/>
        </w:rPr>
        <w:t>14人（根据医院实际需求动态调整）</w:t>
      </w:r>
    </w:p>
    <w:p w14:paraId="1D1F0DB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8"/>
          <w:szCs w:val="36"/>
        </w:rPr>
      </w:pPr>
      <w:r>
        <w:rPr>
          <w:rFonts w:hint="eastAsia" w:ascii="宋体" w:hAnsi="宋体" w:eastAsia="宋体" w:cs="宋体"/>
          <w:color w:val="auto"/>
          <w:sz w:val="28"/>
          <w:szCs w:val="36"/>
          <w:lang w:val="en-US" w:eastAsia="zh-CN"/>
        </w:rPr>
        <w:t>四</w:t>
      </w:r>
      <w:r>
        <w:rPr>
          <w:rFonts w:hint="eastAsia" w:ascii="宋体" w:hAnsi="宋体" w:eastAsia="宋体" w:cs="宋体"/>
          <w:color w:val="auto"/>
          <w:sz w:val="28"/>
          <w:szCs w:val="36"/>
        </w:rPr>
        <w:t>、</w:t>
      </w:r>
      <w:r>
        <w:rPr>
          <w:rFonts w:hint="eastAsia" w:ascii="宋体" w:hAnsi="宋体" w:eastAsia="宋体" w:cs="宋体"/>
          <w:color w:val="auto"/>
          <w:sz w:val="28"/>
          <w:szCs w:val="36"/>
          <w:lang w:val="en-US" w:eastAsia="zh-CN"/>
        </w:rPr>
        <w:t>供应商</w:t>
      </w:r>
      <w:r>
        <w:rPr>
          <w:rFonts w:hint="eastAsia" w:ascii="宋体" w:hAnsi="宋体" w:eastAsia="宋体" w:cs="宋体"/>
          <w:color w:val="auto"/>
          <w:sz w:val="28"/>
          <w:szCs w:val="36"/>
        </w:rPr>
        <w:t>资格要求</w:t>
      </w:r>
    </w:p>
    <w:p w14:paraId="2E24B95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8"/>
          <w:szCs w:val="36"/>
        </w:rPr>
      </w:pPr>
      <w:r>
        <w:rPr>
          <w:rFonts w:hint="eastAsia" w:ascii="宋体" w:hAnsi="宋体" w:eastAsia="宋体" w:cs="宋体"/>
          <w:color w:val="auto"/>
          <w:sz w:val="28"/>
          <w:szCs w:val="36"/>
        </w:rPr>
        <w:t>（一）基本资质</w:t>
      </w:r>
    </w:p>
    <w:p w14:paraId="2EE96FC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1.</w:t>
      </w:r>
      <w:r>
        <w:rPr>
          <w:rFonts w:hint="eastAsia" w:ascii="宋体" w:hAnsi="宋体" w:eastAsia="宋体" w:cs="宋体"/>
          <w:sz w:val="28"/>
          <w:szCs w:val="36"/>
        </w:rPr>
        <w:t>符合《中华人民共和国政府采购法》第二十二条规定；</w:t>
      </w:r>
    </w:p>
    <w:p w14:paraId="450D4AF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2.</w:t>
      </w:r>
      <w:r>
        <w:rPr>
          <w:rFonts w:hint="eastAsia" w:ascii="宋体" w:hAnsi="宋体" w:eastAsia="宋体" w:cs="宋体"/>
          <w:sz w:val="28"/>
          <w:szCs w:val="36"/>
        </w:rPr>
        <w:t>未被“信用中国”、中国政府采购网列入失信被执行人、重大税收违法案件当事人名单及政府采购严重违法失信行为记录名单。</w:t>
      </w:r>
    </w:p>
    <w:p w14:paraId="3065042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rPr>
        <w:t>（二）专业资质</w:t>
      </w:r>
    </w:p>
    <w:p w14:paraId="225BD8D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1.</w:t>
      </w:r>
      <w:r>
        <w:rPr>
          <w:rFonts w:hint="eastAsia" w:ascii="宋体" w:hAnsi="宋体" w:eastAsia="宋体" w:cs="宋体"/>
          <w:sz w:val="28"/>
          <w:szCs w:val="36"/>
        </w:rPr>
        <w:t>持有省级或市级公安部门核发的有效《保安服务许可证》；</w:t>
      </w:r>
    </w:p>
    <w:p w14:paraId="45761BF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2.</w:t>
      </w:r>
      <w:r>
        <w:rPr>
          <w:rFonts w:hint="eastAsia" w:ascii="宋体" w:hAnsi="宋体" w:eastAsia="宋体" w:cs="宋体"/>
          <w:sz w:val="28"/>
          <w:szCs w:val="36"/>
        </w:rPr>
        <w:t>非本地注册企业需承诺中标后15日内完成当地公安机关备案。</w:t>
      </w:r>
    </w:p>
    <w:p w14:paraId="462F1FB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rPr>
        <w:t>（三）财务与信誉</w:t>
      </w:r>
    </w:p>
    <w:p w14:paraId="75669EF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1.</w:t>
      </w:r>
      <w:r>
        <w:rPr>
          <w:rFonts w:hint="eastAsia" w:ascii="宋体" w:hAnsi="宋体" w:eastAsia="宋体" w:cs="宋体"/>
          <w:sz w:val="28"/>
          <w:szCs w:val="36"/>
        </w:rPr>
        <w:t>提供近三年经会计师事务所审计的财务报告或银行资信证明；</w:t>
      </w:r>
    </w:p>
    <w:p w14:paraId="2EBC597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2.</w:t>
      </w:r>
      <w:r>
        <w:rPr>
          <w:rFonts w:hint="eastAsia" w:ascii="宋体" w:hAnsi="宋体" w:eastAsia="宋体" w:cs="宋体"/>
          <w:sz w:val="28"/>
          <w:szCs w:val="36"/>
        </w:rPr>
        <w:t>依法缴纳税收及社保资金的良好记录；</w:t>
      </w:r>
    </w:p>
    <w:p w14:paraId="200CE21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3.</w:t>
      </w:r>
      <w:r>
        <w:rPr>
          <w:rFonts w:hint="eastAsia" w:ascii="宋体" w:hAnsi="宋体" w:eastAsia="宋体" w:cs="宋体"/>
          <w:sz w:val="28"/>
          <w:szCs w:val="36"/>
        </w:rPr>
        <w:t>近三年内无重大违法记录。</w:t>
      </w:r>
    </w:p>
    <w:p w14:paraId="75DE88B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五</w:t>
      </w:r>
      <w:r>
        <w:rPr>
          <w:rFonts w:hint="eastAsia" w:ascii="宋体" w:hAnsi="宋体" w:eastAsia="宋体" w:cs="宋体"/>
          <w:sz w:val="28"/>
          <w:szCs w:val="36"/>
        </w:rPr>
        <w:t>、服务内容要求</w:t>
      </w:r>
    </w:p>
    <w:p w14:paraId="5B46DEE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1.</w:t>
      </w:r>
      <w:r>
        <w:rPr>
          <w:rFonts w:hint="eastAsia" w:ascii="宋体" w:hAnsi="宋体" w:eastAsia="宋体" w:cs="宋体"/>
          <w:sz w:val="28"/>
          <w:szCs w:val="36"/>
        </w:rPr>
        <w:t>安全保卫：出入口管理、24小时巡逻值守、防恐防暴、治安案件处置；</w:t>
      </w:r>
    </w:p>
    <w:p w14:paraId="1C40CA7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2.</w:t>
      </w:r>
      <w:r>
        <w:rPr>
          <w:rFonts w:hint="eastAsia" w:ascii="宋体" w:hAnsi="宋体" w:eastAsia="宋体" w:cs="宋体"/>
          <w:sz w:val="28"/>
          <w:szCs w:val="36"/>
        </w:rPr>
        <w:t>秩序维护：疏导就诊秩序、驱离闲杂人员、协助陪护管理；</w:t>
      </w:r>
    </w:p>
    <w:p w14:paraId="78CCF81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3.</w:t>
      </w:r>
      <w:r>
        <w:rPr>
          <w:rFonts w:hint="eastAsia" w:ascii="宋体" w:hAnsi="宋体" w:eastAsia="宋体" w:cs="宋体"/>
          <w:sz w:val="28"/>
          <w:szCs w:val="36"/>
        </w:rPr>
        <w:t>消防管理：监控消防设备、处理火警、定期防火巡查（每月至少1次）；</w:t>
      </w:r>
    </w:p>
    <w:p w14:paraId="197BBE1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4.</w:t>
      </w:r>
      <w:r>
        <w:rPr>
          <w:rFonts w:hint="eastAsia" w:ascii="宋体" w:hAnsi="宋体" w:eastAsia="宋体" w:cs="宋体"/>
          <w:sz w:val="28"/>
          <w:szCs w:val="36"/>
        </w:rPr>
        <w:t>应急管理：协助处理医疗纠纷、火灾、紧急救援等突发事件；</w:t>
      </w:r>
    </w:p>
    <w:p w14:paraId="4193D81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8"/>
          <w:szCs w:val="36"/>
        </w:rPr>
      </w:pPr>
      <w:r>
        <w:rPr>
          <w:rFonts w:hint="eastAsia" w:ascii="宋体" w:hAnsi="宋体" w:eastAsia="宋体" w:cs="宋体"/>
          <w:color w:val="auto"/>
          <w:sz w:val="28"/>
          <w:szCs w:val="36"/>
          <w:lang w:val="en-US" w:eastAsia="zh-CN"/>
        </w:rPr>
        <w:t>5.</w:t>
      </w:r>
      <w:r>
        <w:rPr>
          <w:rFonts w:hint="eastAsia" w:ascii="宋体" w:hAnsi="宋体" w:eastAsia="宋体" w:cs="宋体"/>
          <w:color w:val="auto"/>
          <w:sz w:val="28"/>
          <w:szCs w:val="36"/>
        </w:rPr>
        <w:t>培训演练：每年组织2次以上防暴、消防及急救技能演练，并提交演练报告。</w:t>
      </w:r>
    </w:p>
    <w:p w14:paraId="5431D1C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8"/>
          <w:szCs w:val="36"/>
        </w:rPr>
      </w:pPr>
      <w:r>
        <w:rPr>
          <w:rFonts w:hint="eastAsia" w:ascii="宋体" w:hAnsi="宋体" w:eastAsia="宋体" w:cs="宋体"/>
          <w:color w:val="auto"/>
          <w:sz w:val="28"/>
          <w:szCs w:val="36"/>
          <w:lang w:val="en-US" w:eastAsia="zh-CN"/>
        </w:rPr>
        <w:t>六、磋商文件的获取</w:t>
      </w:r>
    </w:p>
    <w:p w14:paraId="61BA1C0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8"/>
          <w:szCs w:val="36"/>
        </w:rPr>
      </w:pPr>
      <w:r>
        <w:rPr>
          <w:rFonts w:hint="eastAsia" w:ascii="宋体" w:hAnsi="宋体" w:eastAsia="宋体" w:cs="宋体"/>
          <w:color w:val="auto"/>
          <w:sz w:val="28"/>
          <w:szCs w:val="36"/>
          <w:lang w:val="en-US" w:eastAsia="zh-CN"/>
        </w:rPr>
        <w:t>1.获取与截至时间：2025年4月17日至4月24日（工作日9:00-12:00，14:30-17:30）</w:t>
      </w:r>
    </w:p>
    <w:p w14:paraId="516EAC2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2.地点：线上公告附件自行下载。</w:t>
      </w:r>
    </w:p>
    <w:p w14:paraId="6BC01AA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3.费用：免费下载，</w:t>
      </w:r>
      <w:r>
        <w:rPr>
          <w:rFonts w:hint="eastAsia" w:ascii="宋体" w:hAnsi="宋体" w:eastAsia="宋体" w:cs="宋体"/>
          <w:sz w:val="28"/>
          <w:szCs w:val="36"/>
        </w:rPr>
        <w:t>报名时需提交加盖公章的营业执照副本复印件、报名表以及法定代表人授权委托书</w:t>
      </w:r>
      <w:r>
        <w:rPr>
          <w:rFonts w:hint="eastAsia" w:ascii="宋体" w:hAnsi="宋体" w:eastAsia="宋体" w:cs="宋体"/>
          <w:sz w:val="28"/>
          <w:szCs w:val="36"/>
          <w:lang w:eastAsia="zh-CN"/>
        </w:rPr>
        <w:t>、</w:t>
      </w:r>
      <w:r>
        <w:rPr>
          <w:rFonts w:hint="eastAsia" w:ascii="宋体" w:hAnsi="宋体" w:eastAsia="宋体" w:cs="宋体"/>
          <w:sz w:val="28"/>
          <w:szCs w:val="36"/>
          <w:lang w:val="en-US" w:eastAsia="zh-CN"/>
        </w:rPr>
        <w:t>资质证明等</w:t>
      </w:r>
      <w:r>
        <w:rPr>
          <w:rFonts w:hint="eastAsia" w:ascii="宋体" w:hAnsi="宋体" w:eastAsia="宋体" w:cs="宋体"/>
          <w:sz w:val="28"/>
          <w:szCs w:val="36"/>
        </w:rPr>
        <w:t>材料”</w:t>
      </w:r>
      <w:r>
        <w:rPr>
          <w:rFonts w:hint="eastAsia" w:ascii="宋体" w:hAnsi="宋体" w:eastAsia="宋体" w:cs="宋体"/>
          <w:sz w:val="28"/>
          <w:szCs w:val="36"/>
          <w:lang w:val="en-US" w:eastAsia="zh-CN"/>
        </w:rPr>
        <w:t>。</w:t>
      </w:r>
    </w:p>
    <w:p w14:paraId="444D0C8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4.线上报名：报名文件发送至邮箱：</w:t>
      </w:r>
      <w:r>
        <w:rPr>
          <w:rFonts w:hint="eastAsia" w:ascii="宋体" w:hAnsi="宋体" w:eastAsia="宋体" w:cs="宋体"/>
          <w:sz w:val="28"/>
          <w:szCs w:val="36"/>
          <w:lang w:val="en-US" w:eastAsia="zh-CN"/>
        </w:rPr>
        <w:fldChar w:fldCharType="begin"/>
      </w:r>
      <w:r>
        <w:rPr>
          <w:rFonts w:hint="eastAsia" w:ascii="宋体" w:hAnsi="宋体" w:eastAsia="宋体" w:cs="宋体"/>
          <w:sz w:val="28"/>
          <w:szCs w:val="36"/>
          <w:lang w:val="en-US" w:eastAsia="zh-CN"/>
        </w:rPr>
        <w:instrText xml:space="preserve"> HYPERLINK "mailto:251032761@qq.com" </w:instrText>
      </w:r>
      <w:r>
        <w:rPr>
          <w:rFonts w:hint="eastAsia" w:ascii="宋体" w:hAnsi="宋体" w:eastAsia="宋体" w:cs="宋体"/>
          <w:sz w:val="28"/>
          <w:szCs w:val="36"/>
          <w:lang w:val="en-US" w:eastAsia="zh-CN"/>
        </w:rPr>
        <w:fldChar w:fldCharType="separate"/>
      </w:r>
      <w:r>
        <w:rPr>
          <w:rFonts w:hint="eastAsia" w:ascii="宋体" w:hAnsi="宋体" w:eastAsia="宋体" w:cs="宋体"/>
          <w:sz w:val="28"/>
          <w:szCs w:val="36"/>
        </w:rPr>
        <w:t>251032761@qq.com</w:t>
      </w:r>
      <w:r>
        <w:rPr>
          <w:rFonts w:hint="eastAsia" w:ascii="宋体" w:hAnsi="宋体" w:eastAsia="宋体" w:cs="宋体"/>
          <w:sz w:val="28"/>
          <w:szCs w:val="36"/>
          <w:lang w:val="en-US" w:eastAsia="zh-CN"/>
        </w:rPr>
        <w:fldChar w:fldCharType="end"/>
      </w:r>
      <w:r>
        <w:rPr>
          <w:rFonts w:hint="eastAsia" w:ascii="宋体" w:hAnsi="宋体" w:eastAsia="宋体" w:cs="宋体"/>
          <w:sz w:val="28"/>
          <w:szCs w:val="36"/>
          <w:lang w:val="en-US" w:eastAsia="zh-CN"/>
        </w:rPr>
        <w:t> 或微信提交报名资料：采购办 万佳佳13768228700</w:t>
      </w:r>
    </w:p>
    <w:p w14:paraId="50396BD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lang w:val="en-US"/>
        </w:rPr>
      </w:pPr>
      <w:r>
        <w:rPr>
          <w:rFonts w:hint="eastAsia" w:ascii="宋体" w:hAnsi="宋体" w:eastAsia="宋体" w:cs="宋体"/>
          <w:sz w:val="28"/>
          <w:szCs w:val="36"/>
          <w:lang w:val="en-US" w:eastAsia="zh-CN"/>
        </w:rPr>
        <w:t>5.项目咨询：保卫科 韦燕谋 17376120676</w:t>
      </w:r>
    </w:p>
    <w:p w14:paraId="55DBB1F3">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sz w:val="28"/>
          <w:szCs w:val="36"/>
          <w:lang w:val="en-US"/>
        </w:rPr>
      </w:pPr>
      <w:r>
        <w:rPr>
          <w:rFonts w:hint="eastAsia" w:ascii="宋体" w:hAnsi="宋体" w:eastAsia="宋体" w:cs="宋体"/>
          <w:sz w:val="28"/>
          <w:szCs w:val="36"/>
          <w:lang w:val="en-US" w:eastAsia="zh-CN"/>
        </w:rPr>
        <w:t>6.要求：密封装订，一正三副，注明“投标文件”及项目编号。</w:t>
      </w:r>
      <w:r>
        <w:rPr>
          <w:rFonts w:hint="eastAsia" w:ascii="宋体" w:hAnsi="宋体" w:cs="宋体"/>
          <w:sz w:val="28"/>
          <w:szCs w:val="36"/>
          <w:lang w:val="en-US" w:eastAsia="zh-CN"/>
        </w:rPr>
        <w:t>在现场磋商环节，投标人需进行企业介绍，阐述自身优势，并解答相关疑问</w:t>
      </w:r>
      <w:bookmarkStart w:id="18" w:name="_GoBack"/>
      <w:bookmarkEnd w:id="18"/>
      <w:r>
        <w:rPr>
          <w:rFonts w:hint="eastAsia" w:ascii="宋体" w:hAnsi="宋体" w:cs="宋体"/>
          <w:sz w:val="28"/>
          <w:szCs w:val="36"/>
          <w:lang w:val="en-US" w:eastAsia="zh-CN"/>
        </w:rPr>
        <w:t>。</w:t>
      </w:r>
    </w:p>
    <w:p w14:paraId="2C74384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8"/>
          <w:szCs w:val="36"/>
        </w:rPr>
      </w:pPr>
      <w:r>
        <w:rPr>
          <w:rFonts w:hint="eastAsia" w:ascii="宋体" w:hAnsi="宋体" w:eastAsia="宋体" w:cs="宋体"/>
          <w:color w:val="auto"/>
          <w:sz w:val="28"/>
          <w:szCs w:val="36"/>
          <w:lang w:val="en-US" w:eastAsia="zh-CN"/>
        </w:rPr>
        <w:t>七、磋商与开标</w:t>
      </w:r>
    </w:p>
    <w:p w14:paraId="557D0F6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8"/>
          <w:szCs w:val="36"/>
          <w:lang w:val="en-US" w:eastAsia="zh-CN"/>
        </w:rPr>
      </w:pPr>
      <w:r>
        <w:rPr>
          <w:rFonts w:hint="eastAsia" w:ascii="宋体" w:hAnsi="宋体" w:eastAsia="宋体" w:cs="宋体"/>
          <w:color w:val="auto"/>
          <w:sz w:val="28"/>
          <w:szCs w:val="36"/>
          <w:lang w:val="en-US" w:eastAsia="zh-CN"/>
        </w:rPr>
        <w:t>1.递交投标文件的时间：2025年4月25日上午09:00-10:00</w:t>
      </w:r>
    </w:p>
    <w:p w14:paraId="785F540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8"/>
          <w:szCs w:val="36"/>
          <w:lang w:val="en-US" w:eastAsia="zh-CN"/>
        </w:rPr>
      </w:pPr>
      <w:r>
        <w:rPr>
          <w:rFonts w:hint="eastAsia" w:ascii="宋体" w:hAnsi="宋体" w:eastAsia="宋体" w:cs="宋体"/>
          <w:color w:val="auto"/>
          <w:sz w:val="28"/>
          <w:szCs w:val="36"/>
          <w:lang w:val="en-US" w:eastAsia="zh-CN"/>
        </w:rPr>
        <w:t>2.磋商时间：2025年4月25日上午10:00</w:t>
      </w:r>
    </w:p>
    <w:p w14:paraId="210DAFE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3.地点：融水苗族自治县人民医院5号楼4楼一体化会议室</w:t>
      </w:r>
    </w:p>
    <w:p w14:paraId="5D42C9C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rPr>
      </w:pPr>
      <w:r>
        <w:rPr>
          <w:rFonts w:hint="eastAsia" w:ascii="宋体" w:hAnsi="宋体" w:eastAsia="宋体" w:cs="宋体"/>
          <w:sz w:val="28"/>
          <w:szCs w:val="36"/>
          <w:lang w:val="en-US" w:eastAsia="zh-CN"/>
        </w:rPr>
        <w:t>4.方式：综合评分法（价格分30+技术分67+商务分3，满分100分，详见附件：竞争性磋商文件）。</w:t>
      </w:r>
    </w:p>
    <w:p w14:paraId="504AA6F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八、发布媒介</w:t>
      </w:r>
    </w:p>
    <w:p w14:paraId="77464A9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本公告同步发布于融水苗族自治县人民医院官方网站、融水苗族自治县人民医院公众号。</w:t>
      </w:r>
    </w:p>
    <w:p w14:paraId="404C29B4">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融水苗族自治县人民医院</w:t>
      </w:r>
    </w:p>
    <w:p w14:paraId="3D2CD9C1">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宋体" w:hAnsi="宋体" w:eastAsia="宋体" w:cs="宋体"/>
          <w:sz w:val="28"/>
          <w:szCs w:val="36"/>
          <w:lang w:val="en-US" w:eastAsia="zh-CN"/>
        </w:rPr>
        <w:sectPr>
          <w:footerReference r:id="rId4" w:type="default"/>
          <w:pgSz w:w="11906" w:h="16838"/>
          <w:pgMar w:top="1247" w:right="1247" w:bottom="1247" w:left="1247" w:header="851" w:footer="992" w:gutter="0"/>
          <w:pgNumType w:fmt="decimal" w:start="1"/>
          <w:cols w:space="0" w:num="1"/>
          <w:rtlGutter w:val="0"/>
          <w:docGrid w:linePitch="312" w:charSpace="0"/>
        </w:sectPr>
      </w:pPr>
      <w:r>
        <w:rPr>
          <w:rFonts w:hint="eastAsia" w:ascii="宋体" w:hAnsi="宋体" w:eastAsia="宋体" w:cs="宋体"/>
          <w:sz w:val="28"/>
          <w:szCs w:val="36"/>
          <w:lang w:val="en-US" w:eastAsia="zh-CN"/>
        </w:rPr>
        <w:t>2025年4月17日</w:t>
      </w:r>
    </w:p>
    <w:p w14:paraId="5C87F599">
      <w:pPr>
        <w:pStyle w:val="2"/>
        <w:keepNext/>
        <w:keepLines/>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32"/>
          <w:szCs w:val="32"/>
          <w:lang w:val="en-US" w:eastAsia="zh-CN"/>
        </w:rPr>
      </w:pPr>
      <w:bookmarkStart w:id="4" w:name="_Toc28433"/>
      <w:bookmarkStart w:id="5" w:name="_Toc29213"/>
      <w:r>
        <w:rPr>
          <w:rFonts w:hint="eastAsia" w:ascii="宋体" w:hAnsi="宋体" w:eastAsia="宋体" w:cs="宋体"/>
          <w:b/>
          <w:bCs/>
          <w:kern w:val="44"/>
          <w:sz w:val="32"/>
          <w:szCs w:val="32"/>
          <w:lang w:val="en-US" w:eastAsia="zh-CN" w:bidi="ar-SA"/>
        </w:rPr>
        <w:t>第二章</w:t>
      </w:r>
      <w:r>
        <w:rPr>
          <w:rFonts w:hint="eastAsia" w:ascii="宋体" w:hAnsi="宋体" w:eastAsia="宋体" w:cs="宋体"/>
          <w:sz w:val="32"/>
          <w:szCs w:val="32"/>
          <w:lang w:val="en-US" w:eastAsia="zh-CN"/>
        </w:rPr>
        <w:t xml:space="preserve">  招标要求</w:t>
      </w:r>
      <w:bookmarkEnd w:id="4"/>
      <w:bookmarkEnd w:id="5"/>
      <w:r>
        <w:rPr>
          <w:rFonts w:hint="eastAsia" w:ascii="宋体" w:hAnsi="宋体" w:eastAsia="宋体" w:cs="宋体"/>
          <w:sz w:val="32"/>
          <w:szCs w:val="32"/>
          <w:lang w:val="en-US" w:eastAsia="zh-CN"/>
        </w:rPr>
        <w:t xml:space="preserve">  </w:t>
      </w:r>
    </w:p>
    <w:p w14:paraId="62E3F01D">
      <w:pPr>
        <w:jc w:val="center"/>
        <w:rPr>
          <w:rFonts w:hint="eastAsia" w:ascii="宋体" w:hAnsi="宋体" w:eastAsia="宋体" w:cs="宋体"/>
          <w:sz w:val="32"/>
          <w:szCs w:val="32"/>
          <w:lang w:val="en-US" w:eastAsia="zh-CN"/>
        </w:rPr>
      </w:pPr>
      <w:r>
        <w:rPr>
          <w:rFonts w:hint="eastAsia" w:ascii="宋体" w:hAnsi="宋体" w:eastAsia="宋体" w:cs="宋体"/>
          <w:b w:val="0"/>
          <w:bCs w:val="0"/>
          <w:sz w:val="32"/>
          <w:szCs w:val="32"/>
          <w:lang w:val="en-US" w:eastAsia="zh-CN"/>
        </w:rPr>
        <w:t>保安招标要求</w:t>
      </w:r>
    </w:p>
    <w:p w14:paraId="3116F7A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一、供应商资格要求</w:t>
      </w:r>
    </w:p>
    <w:p w14:paraId="5721610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（一）基本资质：满足《中华人民共和国政府采购法》第二十二条规定，未被“信用中国”、中国政府采购网列入失信被执行人、重大税收违法案件当事人名单、政府采购严重违法失信行为记录名单。</w:t>
      </w:r>
    </w:p>
    <w:p w14:paraId="3EC950F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（二）专业资质：具有省级或市公安部门核发的《保安服务许可证》，证书处于有效期内。非本地注册的投标人，可能需要在合同规定时间内到当地公安机关进行备案。</w:t>
      </w:r>
    </w:p>
    <w:p w14:paraId="49278AA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（三）财务与信誉：具有良好的商业信誉和健全的财务会计制度，提供经会计师事务所审计的财务审计报告或银行资信证明；有依法缴纳税收和社会保障资金的良好记录；近三年内无重大违法记录。</w:t>
      </w:r>
    </w:p>
    <w:p w14:paraId="1695C78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二、人员配置要求</w:t>
      </w:r>
    </w:p>
    <w:p w14:paraId="40EED20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数量：根据医院规模和需求配置足够人员，按床位比例配置，医院内聘用保安数量不低于在岗医务人员总数的%3或20张病床1名保安或日均门诊量的‰3（如诸暨项目每20床配1名保安，最低29人），目前按照医院实际情况，医院建议按之前招标人数要求配备14人。年龄结构限制（通常要求18-50周岁，特殊岗位≤45周岁），且保安人员必须持有保安资格证书。</w:t>
      </w:r>
    </w:p>
    <w:p w14:paraId="690ECF0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（二）素质与培训：保安人员需经过岗前培训合格，再经医院保卫科面试、审查通过后录用。应具备良好的职业道德和服务意识。</w:t>
      </w:r>
    </w:p>
    <w:p w14:paraId="1563F3F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（三）岗位设置：需明确各岗位职责，如门卫、巡逻、消控室等岗位，部分岗位需配备相关证书。</w:t>
      </w:r>
    </w:p>
    <w:p w14:paraId="70D75AC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三、服务内容要求</w:t>
      </w:r>
    </w:p>
    <w:p w14:paraId="5E7EEEF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 安全保卫：负责医院出入口管理、巡逻、守护、防恐防爆、治安管理等。</w:t>
      </w:r>
    </w:p>
    <w:p w14:paraId="3A76028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（二）秩序维护：维护医院就诊秩序，驱赶闲杂人员，协助陪护管理。</w:t>
      </w:r>
    </w:p>
    <w:p w14:paraId="214E32F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（三）消防管理：负责消防监控中心执勤监视、消防报警处理、防火防盗巡逻。</w:t>
      </w:r>
    </w:p>
    <w:p w14:paraId="0D50C8F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（四）应急管理：协助处理突发事件，如医疗纠纷、火灾等，保护医护人员和患者安全。</w:t>
      </w:r>
    </w:p>
    <w:p w14:paraId="410993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（五）培训演练：每年至少1-2次进行防恐防暴技能培训演练和消防安全技能培训演练。</w:t>
      </w:r>
    </w:p>
    <w:p w14:paraId="19C2BF9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四、管理与监督要求</w:t>
      </w:r>
    </w:p>
    <w:p w14:paraId="27F823B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（一）内部管理：保安公司需建立完善的管理制度，对保安人员进行思想教育、业务培训和日常管理。</w:t>
      </w:r>
    </w:p>
    <w:p w14:paraId="2BD1EEC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（二）服从管理：保安人员需服从医院保卫科的管理，接受医院的监督和考核。</w:t>
      </w:r>
    </w:p>
    <w:p w14:paraId="09DC88F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（三）人员更换：医院对不满意的保安人员有权要求更换，供应商需在规定时间内完成调换。</w:t>
      </w:r>
    </w:p>
    <w:p w14:paraId="463134F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五、其他要求</w:t>
      </w:r>
    </w:p>
    <w:p w14:paraId="60DE67E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（一）装备配备：保安公司需配备齐全的保安装备，物权归属保安公司。</w:t>
      </w:r>
    </w:p>
    <w:p w14:paraId="28E0384E">
      <w:pPr>
        <w:ind w:firstLine="883" w:firstLineChars="200"/>
        <w:jc w:val="center"/>
        <w:rPr>
          <w:rFonts w:hint="eastAsia" w:ascii="宋体" w:hAnsi="宋体" w:eastAsia="宋体" w:cs="宋体"/>
          <w:b/>
          <w:bCs/>
          <w:sz w:val="44"/>
          <w:szCs w:val="44"/>
          <w:lang w:val="en-US" w:eastAsia="zh-CN"/>
        </w:rPr>
        <w:sectPr>
          <w:pgSz w:w="11906" w:h="16838"/>
          <w:pgMar w:top="1247" w:right="1417" w:bottom="1247" w:left="1417" w:header="851" w:footer="992" w:gutter="0"/>
          <w:pgNumType w:fmt="decimal"/>
          <w:cols w:space="0" w:num="1"/>
          <w:rtlGutter w:val="0"/>
          <w:docGrid w:linePitch="312" w:charSpace="0"/>
        </w:sectPr>
      </w:pPr>
    </w:p>
    <w:p w14:paraId="23FA9AFA">
      <w:pPr>
        <w:ind w:firstLine="883" w:firstLineChars="200"/>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保安评价表</w:t>
      </w:r>
    </w:p>
    <w:tbl>
      <w:tblPr>
        <w:tblStyle w:val="54"/>
        <w:tblW w:w="10929" w:type="dxa"/>
        <w:tblInd w:w="-1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1655"/>
        <w:gridCol w:w="5494"/>
        <w:gridCol w:w="1802"/>
        <w:gridCol w:w="699"/>
      </w:tblGrid>
      <w:tr w14:paraId="663C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vAlign w:val="center"/>
          </w:tcPr>
          <w:p w14:paraId="33FB1166">
            <w:pPr>
              <w:spacing w:line="72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评价项目</w:t>
            </w:r>
          </w:p>
        </w:tc>
        <w:tc>
          <w:tcPr>
            <w:tcW w:w="1655" w:type="dxa"/>
            <w:vAlign w:val="center"/>
          </w:tcPr>
          <w:p w14:paraId="615D0F3B">
            <w:pPr>
              <w:spacing w:line="72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评价内容</w:t>
            </w:r>
          </w:p>
        </w:tc>
        <w:tc>
          <w:tcPr>
            <w:tcW w:w="5494" w:type="dxa"/>
            <w:vAlign w:val="center"/>
          </w:tcPr>
          <w:p w14:paraId="2210A876">
            <w:pPr>
              <w:spacing w:line="72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评价标准</w:t>
            </w:r>
          </w:p>
        </w:tc>
        <w:tc>
          <w:tcPr>
            <w:tcW w:w="1802" w:type="dxa"/>
            <w:vAlign w:val="center"/>
          </w:tcPr>
          <w:p w14:paraId="0678365C">
            <w:pPr>
              <w:spacing w:line="72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评价结果</w:t>
            </w:r>
          </w:p>
        </w:tc>
        <w:tc>
          <w:tcPr>
            <w:tcW w:w="699" w:type="dxa"/>
            <w:vAlign w:val="center"/>
          </w:tcPr>
          <w:p w14:paraId="59F055B4">
            <w:pPr>
              <w:spacing w:line="72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得分</w:t>
            </w:r>
          </w:p>
        </w:tc>
      </w:tr>
      <w:tr w14:paraId="7134A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17AE626E">
            <w:pPr>
              <w:spacing w:line="48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基本素质</w:t>
            </w:r>
          </w:p>
        </w:tc>
        <w:tc>
          <w:tcPr>
            <w:tcW w:w="1655" w:type="dxa"/>
            <w:vAlign w:val="center"/>
          </w:tcPr>
          <w:p w14:paraId="646F0C0E">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年龄</w:t>
            </w:r>
          </w:p>
        </w:tc>
        <w:tc>
          <w:tcPr>
            <w:tcW w:w="5494" w:type="dxa"/>
            <w:vAlign w:val="center"/>
          </w:tcPr>
          <w:p w14:paraId="4D861347">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18-50周岁，身体健康</w:t>
            </w:r>
          </w:p>
          <w:p w14:paraId="0AF0AC35">
            <w:pPr>
              <w:spacing w:line="240" w:lineRule="auto"/>
              <w:jc w:val="both"/>
              <w:rPr>
                <w:rFonts w:hint="eastAsia" w:ascii="宋体" w:hAnsi="宋体" w:eastAsia="宋体" w:cs="宋体"/>
                <w:sz w:val="21"/>
                <w:szCs w:val="21"/>
                <w:vertAlign w:val="baseline"/>
                <w:lang w:val="en-US" w:eastAsia="zh-CN"/>
              </w:rPr>
            </w:pPr>
          </w:p>
        </w:tc>
        <w:tc>
          <w:tcPr>
            <w:tcW w:w="1802" w:type="dxa"/>
            <w:vAlign w:val="center"/>
          </w:tcPr>
          <w:p w14:paraId="1E11031D">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符合</w:t>
            </w:r>
            <w:r>
              <w:rPr>
                <w:rFonts w:hint="eastAsia" w:ascii="宋体" w:hAnsi="宋体" w:eastAsia="宋体" w:cs="宋体"/>
                <w:sz w:val="21"/>
                <w:szCs w:val="21"/>
                <w:vertAlign w:val="baseline"/>
                <w:lang w:val="en-US" w:eastAsia="zh-CN"/>
              </w:rPr>
              <w:sym w:font="Wingdings 2" w:char="00A3"/>
            </w:r>
            <w:r>
              <w:rPr>
                <w:rFonts w:hint="eastAsia" w:ascii="宋体" w:hAnsi="宋体" w:eastAsia="宋体" w:cs="宋体"/>
                <w:sz w:val="21"/>
                <w:szCs w:val="21"/>
                <w:vertAlign w:val="baseline"/>
                <w:lang w:val="en-US" w:eastAsia="zh-CN"/>
              </w:rPr>
              <w:t>不符合</w:t>
            </w:r>
            <w:r>
              <w:rPr>
                <w:rFonts w:hint="eastAsia" w:ascii="宋体" w:hAnsi="宋体" w:eastAsia="宋体" w:cs="宋体"/>
                <w:sz w:val="21"/>
                <w:szCs w:val="21"/>
                <w:vertAlign w:val="baseline"/>
                <w:lang w:val="en-US" w:eastAsia="zh-CN"/>
              </w:rPr>
              <w:sym w:font="Wingdings 2" w:char="00A3"/>
            </w:r>
          </w:p>
        </w:tc>
        <w:tc>
          <w:tcPr>
            <w:tcW w:w="699" w:type="dxa"/>
          </w:tcPr>
          <w:p w14:paraId="64A2D49F">
            <w:pPr>
              <w:spacing w:line="240" w:lineRule="auto"/>
              <w:jc w:val="both"/>
              <w:rPr>
                <w:rFonts w:hint="eastAsia" w:ascii="宋体" w:hAnsi="宋体" w:eastAsia="宋体" w:cs="宋体"/>
                <w:sz w:val="21"/>
                <w:szCs w:val="21"/>
                <w:vertAlign w:val="baseline"/>
                <w:lang w:val="en-US" w:eastAsia="zh-CN"/>
              </w:rPr>
            </w:pPr>
          </w:p>
        </w:tc>
      </w:tr>
      <w:tr w14:paraId="56318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215013C5">
            <w:pPr>
              <w:spacing w:line="480" w:lineRule="auto"/>
              <w:jc w:val="center"/>
              <w:rPr>
                <w:rFonts w:hint="eastAsia" w:ascii="宋体" w:hAnsi="宋体" w:eastAsia="宋体" w:cs="宋体"/>
                <w:b/>
                <w:bCs/>
                <w:sz w:val="21"/>
                <w:szCs w:val="21"/>
                <w:vertAlign w:val="baseline"/>
                <w:lang w:val="en-US" w:eastAsia="zh-CN"/>
              </w:rPr>
            </w:pPr>
          </w:p>
        </w:tc>
        <w:tc>
          <w:tcPr>
            <w:tcW w:w="1655" w:type="dxa"/>
            <w:vAlign w:val="center"/>
          </w:tcPr>
          <w:p w14:paraId="3AAEA087">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学历</w:t>
            </w:r>
          </w:p>
        </w:tc>
        <w:tc>
          <w:tcPr>
            <w:tcW w:w="5494" w:type="dxa"/>
            <w:vAlign w:val="center"/>
          </w:tcPr>
          <w:p w14:paraId="187823E5">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初中以上学历</w:t>
            </w:r>
          </w:p>
          <w:p w14:paraId="17D19353">
            <w:pPr>
              <w:spacing w:line="240" w:lineRule="auto"/>
              <w:jc w:val="both"/>
              <w:rPr>
                <w:rFonts w:hint="eastAsia" w:ascii="宋体" w:hAnsi="宋体" w:eastAsia="宋体" w:cs="宋体"/>
                <w:sz w:val="21"/>
                <w:szCs w:val="21"/>
                <w:vertAlign w:val="baseline"/>
                <w:lang w:val="en-US" w:eastAsia="zh-CN"/>
              </w:rPr>
            </w:pPr>
          </w:p>
        </w:tc>
        <w:tc>
          <w:tcPr>
            <w:tcW w:w="1802" w:type="dxa"/>
            <w:vAlign w:val="center"/>
          </w:tcPr>
          <w:p w14:paraId="66680B9A">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符合</w:t>
            </w:r>
            <w:r>
              <w:rPr>
                <w:rFonts w:hint="eastAsia" w:ascii="宋体" w:hAnsi="宋体" w:eastAsia="宋体" w:cs="宋体"/>
                <w:sz w:val="21"/>
                <w:szCs w:val="21"/>
                <w:vertAlign w:val="baseline"/>
                <w:lang w:val="en-US" w:eastAsia="zh-CN"/>
              </w:rPr>
              <w:sym w:font="Wingdings 2" w:char="00A3"/>
            </w:r>
            <w:r>
              <w:rPr>
                <w:rFonts w:hint="eastAsia" w:ascii="宋体" w:hAnsi="宋体" w:eastAsia="宋体" w:cs="宋体"/>
                <w:sz w:val="21"/>
                <w:szCs w:val="21"/>
                <w:vertAlign w:val="baseline"/>
                <w:lang w:val="en-US" w:eastAsia="zh-CN"/>
              </w:rPr>
              <w:t>不符合</w:t>
            </w:r>
            <w:r>
              <w:rPr>
                <w:rFonts w:hint="eastAsia" w:ascii="宋体" w:hAnsi="宋体" w:eastAsia="宋体" w:cs="宋体"/>
                <w:sz w:val="21"/>
                <w:szCs w:val="21"/>
                <w:vertAlign w:val="baseline"/>
                <w:lang w:val="en-US" w:eastAsia="zh-CN"/>
              </w:rPr>
              <w:sym w:font="Wingdings 2" w:char="00A3"/>
            </w:r>
          </w:p>
        </w:tc>
        <w:tc>
          <w:tcPr>
            <w:tcW w:w="699" w:type="dxa"/>
          </w:tcPr>
          <w:p w14:paraId="0623581E">
            <w:pPr>
              <w:spacing w:line="240" w:lineRule="auto"/>
              <w:jc w:val="both"/>
              <w:rPr>
                <w:rFonts w:hint="eastAsia" w:ascii="宋体" w:hAnsi="宋体" w:eastAsia="宋体" w:cs="宋体"/>
                <w:sz w:val="21"/>
                <w:szCs w:val="21"/>
                <w:vertAlign w:val="baseline"/>
                <w:lang w:val="en-US" w:eastAsia="zh-CN"/>
              </w:rPr>
            </w:pPr>
          </w:p>
        </w:tc>
      </w:tr>
      <w:tr w14:paraId="12B2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2BB9FCF3">
            <w:pPr>
              <w:spacing w:line="480" w:lineRule="auto"/>
              <w:jc w:val="center"/>
              <w:rPr>
                <w:rFonts w:hint="eastAsia" w:ascii="宋体" w:hAnsi="宋体" w:eastAsia="宋体" w:cs="宋体"/>
                <w:b/>
                <w:bCs/>
                <w:sz w:val="21"/>
                <w:szCs w:val="21"/>
                <w:vertAlign w:val="baseline"/>
                <w:lang w:val="en-US" w:eastAsia="zh-CN"/>
              </w:rPr>
            </w:pPr>
          </w:p>
        </w:tc>
        <w:tc>
          <w:tcPr>
            <w:tcW w:w="1655" w:type="dxa"/>
            <w:vAlign w:val="center"/>
          </w:tcPr>
          <w:p w14:paraId="0BEED8AD">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保安证</w:t>
            </w:r>
          </w:p>
        </w:tc>
        <w:tc>
          <w:tcPr>
            <w:tcW w:w="5494" w:type="dxa"/>
            <w:vAlign w:val="center"/>
          </w:tcPr>
          <w:p w14:paraId="5E51F444">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持有保安证</w:t>
            </w:r>
          </w:p>
          <w:p w14:paraId="447F6A4A">
            <w:pPr>
              <w:spacing w:line="240" w:lineRule="auto"/>
              <w:jc w:val="both"/>
              <w:rPr>
                <w:rFonts w:hint="eastAsia" w:ascii="宋体" w:hAnsi="宋体" w:eastAsia="宋体" w:cs="宋体"/>
                <w:sz w:val="21"/>
                <w:szCs w:val="21"/>
                <w:vertAlign w:val="baseline"/>
                <w:lang w:val="en-US" w:eastAsia="zh-CN"/>
              </w:rPr>
            </w:pPr>
          </w:p>
        </w:tc>
        <w:tc>
          <w:tcPr>
            <w:tcW w:w="1802" w:type="dxa"/>
            <w:vAlign w:val="center"/>
          </w:tcPr>
          <w:p w14:paraId="39F60E55">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符合</w:t>
            </w:r>
            <w:r>
              <w:rPr>
                <w:rFonts w:hint="eastAsia" w:ascii="宋体" w:hAnsi="宋体" w:eastAsia="宋体" w:cs="宋体"/>
                <w:sz w:val="21"/>
                <w:szCs w:val="21"/>
                <w:vertAlign w:val="baseline"/>
                <w:lang w:val="en-US" w:eastAsia="zh-CN"/>
              </w:rPr>
              <w:sym w:font="Wingdings 2" w:char="00A3"/>
            </w:r>
            <w:r>
              <w:rPr>
                <w:rFonts w:hint="eastAsia" w:ascii="宋体" w:hAnsi="宋体" w:eastAsia="宋体" w:cs="宋体"/>
                <w:sz w:val="21"/>
                <w:szCs w:val="21"/>
                <w:vertAlign w:val="baseline"/>
                <w:lang w:val="en-US" w:eastAsia="zh-CN"/>
              </w:rPr>
              <w:t>不符合</w:t>
            </w:r>
            <w:r>
              <w:rPr>
                <w:rFonts w:hint="eastAsia" w:ascii="宋体" w:hAnsi="宋体" w:eastAsia="宋体" w:cs="宋体"/>
                <w:sz w:val="21"/>
                <w:szCs w:val="21"/>
                <w:vertAlign w:val="baseline"/>
                <w:lang w:val="en-US" w:eastAsia="zh-CN"/>
              </w:rPr>
              <w:sym w:font="Wingdings 2" w:char="00A3"/>
            </w:r>
          </w:p>
        </w:tc>
        <w:tc>
          <w:tcPr>
            <w:tcW w:w="699" w:type="dxa"/>
          </w:tcPr>
          <w:p w14:paraId="0DDB5A32">
            <w:pPr>
              <w:spacing w:line="240" w:lineRule="auto"/>
              <w:jc w:val="both"/>
              <w:rPr>
                <w:rFonts w:hint="eastAsia" w:ascii="宋体" w:hAnsi="宋体" w:eastAsia="宋体" w:cs="宋体"/>
                <w:sz w:val="21"/>
                <w:szCs w:val="21"/>
                <w:vertAlign w:val="baseline"/>
                <w:lang w:val="en-US" w:eastAsia="zh-CN"/>
              </w:rPr>
            </w:pPr>
          </w:p>
        </w:tc>
      </w:tr>
      <w:tr w14:paraId="48A2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1F0A968C">
            <w:pPr>
              <w:spacing w:line="48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专业技能</w:t>
            </w:r>
          </w:p>
        </w:tc>
        <w:tc>
          <w:tcPr>
            <w:tcW w:w="1655" w:type="dxa"/>
            <w:vAlign w:val="center"/>
          </w:tcPr>
          <w:p w14:paraId="7BAFA74A">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医院安全管理制度</w:t>
            </w:r>
          </w:p>
        </w:tc>
        <w:tc>
          <w:tcPr>
            <w:tcW w:w="5494" w:type="dxa"/>
            <w:vAlign w:val="center"/>
          </w:tcPr>
          <w:p w14:paraId="740BD40A">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了解医院安全管理制度和相关规定</w:t>
            </w:r>
          </w:p>
        </w:tc>
        <w:tc>
          <w:tcPr>
            <w:tcW w:w="1802" w:type="dxa"/>
            <w:vAlign w:val="center"/>
          </w:tcPr>
          <w:p w14:paraId="33567E44">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熟悉</w:t>
            </w:r>
            <w:r>
              <w:rPr>
                <w:rFonts w:hint="eastAsia" w:ascii="宋体" w:hAnsi="宋体" w:eastAsia="宋体" w:cs="宋体"/>
                <w:sz w:val="21"/>
                <w:szCs w:val="21"/>
                <w:vertAlign w:val="baseline"/>
                <w:lang w:val="en-US" w:eastAsia="zh-CN"/>
              </w:rPr>
              <w:sym w:font="Wingdings 2" w:char="00A3"/>
            </w:r>
            <w:r>
              <w:rPr>
                <w:rFonts w:hint="eastAsia" w:ascii="宋体" w:hAnsi="宋体" w:eastAsia="宋体" w:cs="宋体"/>
                <w:sz w:val="21"/>
                <w:szCs w:val="21"/>
                <w:vertAlign w:val="baseline"/>
                <w:lang w:val="en-US" w:eastAsia="zh-CN"/>
              </w:rPr>
              <w:t>不熟悉</w:t>
            </w:r>
            <w:r>
              <w:rPr>
                <w:rFonts w:hint="eastAsia" w:ascii="宋体" w:hAnsi="宋体" w:eastAsia="宋体" w:cs="宋体"/>
                <w:sz w:val="21"/>
                <w:szCs w:val="21"/>
                <w:vertAlign w:val="baseline"/>
                <w:lang w:val="en-US" w:eastAsia="zh-CN"/>
              </w:rPr>
              <w:sym w:font="Wingdings 2" w:char="00A3"/>
            </w:r>
          </w:p>
        </w:tc>
        <w:tc>
          <w:tcPr>
            <w:tcW w:w="699" w:type="dxa"/>
          </w:tcPr>
          <w:p w14:paraId="289D866A">
            <w:pPr>
              <w:spacing w:line="240" w:lineRule="auto"/>
              <w:jc w:val="both"/>
              <w:rPr>
                <w:rFonts w:hint="eastAsia" w:ascii="宋体" w:hAnsi="宋体" w:eastAsia="宋体" w:cs="宋体"/>
                <w:sz w:val="21"/>
                <w:szCs w:val="21"/>
                <w:vertAlign w:val="baseline"/>
                <w:lang w:val="en-US" w:eastAsia="zh-CN"/>
              </w:rPr>
            </w:pPr>
          </w:p>
        </w:tc>
      </w:tr>
      <w:tr w14:paraId="49037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3508FCC5">
            <w:pPr>
              <w:spacing w:line="480" w:lineRule="auto"/>
              <w:jc w:val="center"/>
              <w:rPr>
                <w:rFonts w:hint="eastAsia" w:ascii="宋体" w:hAnsi="宋体" w:eastAsia="宋体" w:cs="宋体"/>
                <w:b/>
                <w:bCs/>
                <w:sz w:val="21"/>
                <w:szCs w:val="21"/>
                <w:vertAlign w:val="baseline"/>
                <w:lang w:val="en-US" w:eastAsia="zh-CN"/>
              </w:rPr>
            </w:pPr>
          </w:p>
        </w:tc>
        <w:tc>
          <w:tcPr>
            <w:tcW w:w="1655" w:type="dxa"/>
            <w:shd w:val="clear" w:color="auto" w:fill="auto"/>
            <w:vAlign w:val="center"/>
          </w:tcPr>
          <w:p w14:paraId="7F472654">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rPr>
              <w:t>消防与设备操作</w:t>
            </w:r>
          </w:p>
        </w:tc>
        <w:tc>
          <w:tcPr>
            <w:tcW w:w="5494" w:type="dxa"/>
            <w:shd w:val="clear" w:color="auto" w:fill="auto"/>
            <w:vAlign w:val="center"/>
          </w:tcPr>
          <w:p w14:paraId="56FC889B">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rPr>
              <w:t>熟练操作火灾报警器和熟悉烟温感报警器</w:t>
            </w:r>
          </w:p>
        </w:tc>
        <w:tc>
          <w:tcPr>
            <w:tcW w:w="1802" w:type="dxa"/>
            <w:shd w:val="clear" w:color="auto" w:fill="auto"/>
            <w:vAlign w:val="center"/>
          </w:tcPr>
          <w:p w14:paraId="7C1E3E96">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bidi="zh-CN"/>
              </w:rPr>
              <w:t>熟练</w:t>
            </w:r>
            <w:r>
              <w:rPr>
                <w:rFonts w:hint="eastAsia" w:ascii="宋体" w:hAnsi="宋体" w:eastAsia="宋体" w:cs="宋体"/>
                <w:sz w:val="21"/>
                <w:szCs w:val="21"/>
                <w:vertAlign w:val="baseline"/>
                <w:lang w:val="en-US" w:eastAsia="zh-CN" w:bidi="zh-CN"/>
              </w:rPr>
              <w:sym w:font="Wingdings 2" w:char="00A3"/>
            </w:r>
            <w:r>
              <w:rPr>
                <w:rFonts w:hint="eastAsia" w:ascii="宋体" w:hAnsi="宋体" w:eastAsia="宋体" w:cs="宋体"/>
                <w:sz w:val="21"/>
                <w:szCs w:val="21"/>
                <w:vertAlign w:val="baseline"/>
                <w:lang w:val="en-US" w:eastAsia="zh-CN" w:bidi="zh-CN"/>
              </w:rPr>
              <w:t>不熟练</w:t>
            </w:r>
            <w:r>
              <w:rPr>
                <w:rFonts w:hint="eastAsia" w:ascii="宋体" w:hAnsi="宋体" w:eastAsia="宋体" w:cs="宋体"/>
                <w:sz w:val="21"/>
                <w:szCs w:val="21"/>
                <w:vertAlign w:val="baseline"/>
                <w:lang w:val="en-US" w:eastAsia="zh-CN" w:bidi="zh-CN"/>
              </w:rPr>
              <w:sym w:font="Wingdings 2" w:char="00A3"/>
            </w:r>
          </w:p>
        </w:tc>
        <w:tc>
          <w:tcPr>
            <w:tcW w:w="699" w:type="dxa"/>
          </w:tcPr>
          <w:p w14:paraId="2ED3CCF0">
            <w:pPr>
              <w:spacing w:line="240" w:lineRule="auto"/>
              <w:jc w:val="both"/>
              <w:rPr>
                <w:rFonts w:hint="eastAsia" w:ascii="宋体" w:hAnsi="宋体" w:eastAsia="宋体" w:cs="宋体"/>
                <w:sz w:val="21"/>
                <w:szCs w:val="21"/>
                <w:vertAlign w:val="baseline"/>
                <w:lang w:val="en-US" w:eastAsia="zh-CN"/>
              </w:rPr>
            </w:pPr>
          </w:p>
        </w:tc>
      </w:tr>
      <w:tr w14:paraId="045E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0D0F1F48">
            <w:pPr>
              <w:spacing w:line="480" w:lineRule="auto"/>
              <w:jc w:val="center"/>
              <w:rPr>
                <w:rFonts w:hint="eastAsia" w:ascii="宋体" w:hAnsi="宋体" w:eastAsia="宋体" w:cs="宋体"/>
                <w:b/>
                <w:bCs/>
                <w:sz w:val="21"/>
                <w:szCs w:val="21"/>
                <w:vertAlign w:val="baseline"/>
                <w:lang w:val="en-US" w:eastAsia="zh-CN"/>
              </w:rPr>
            </w:pPr>
          </w:p>
        </w:tc>
        <w:tc>
          <w:tcPr>
            <w:tcW w:w="1655" w:type="dxa"/>
            <w:shd w:val="clear" w:color="auto" w:fill="auto"/>
            <w:vAlign w:val="center"/>
          </w:tcPr>
          <w:p w14:paraId="06D0F5AA">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rPr>
              <w:t>急救知识</w:t>
            </w:r>
          </w:p>
        </w:tc>
        <w:tc>
          <w:tcPr>
            <w:tcW w:w="5494" w:type="dxa"/>
            <w:shd w:val="clear" w:color="auto" w:fill="auto"/>
            <w:vAlign w:val="center"/>
          </w:tcPr>
          <w:p w14:paraId="3581DB78">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掌握基本急救知识和技能</w:t>
            </w:r>
          </w:p>
          <w:p w14:paraId="05461D3E">
            <w:pPr>
              <w:spacing w:line="240" w:lineRule="auto"/>
              <w:ind w:left="0" w:leftChars="0" w:right="0" w:rightChars="0"/>
              <w:jc w:val="both"/>
              <w:rPr>
                <w:rFonts w:hint="eastAsia" w:ascii="宋体" w:hAnsi="宋体" w:eastAsia="宋体" w:cs="宋体"/>
                <w:sz w:val="21"/>
                <w:szCs w:val="21"/>
                <w:vertAlign w:val="baseline"/>
                <w:lang w:val="en-US" w:eastAsia="zh-CN"/>
              </w:rPr>
            </w:pPr>
          </w:p>
        </w:tc>
        <w:tc>
          <w:tcPr>
            <w:tcW w:w="1802" w:type="dxa"/>
            <w:vAlign w:val="center"/>
          </w:tcPr>
          <w:p w14:paraId="50EA6519">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bidi="zh-CN"/>
              </w:rPr>
              <w:t>熟练</w:t>
            </w:r>
            <w:r>
              <w:rPr>
                <w:rFonts w:hint="eastAsia" w:ascii="宋体" w:hAnsi="宋体" w:eastAsia="宋体" w:cs="宋体"/>
                <w:sz w:val="21"/>
                <w:szCs w:val="21"/>
                <w:vertAlign w:val="baseline"/>
                <w:lang w:val="en-US" w:eastAsia="zh-CN" w:bidi="zh-CN"/>
              </w:rPr>
              <w:sym w:font="Wingdings 2" w:char="00A3"/>
            </w:r>
            <w:r>
              <w:rPr>
                <w:rFonts w:hint="eastAsia" w:ascii="宋体" w:hAnsi="宋体" w:eastAsia="宋体" w:cs="宋体"/>
                <w:sz w:val="21"/>
                <w:szCs w:val="21"/>
                <w:vertAlign w:val="baseline"/>
                <w:lang w:val="en-US" w:eastAsia="zh-CN" w:bidi="zh-CN"/>
              </w:rPr>
              <w:t>不熟练</w:t>
            </w:r>
            <w:r>
              <w:rPr>
                <w:rFonts w:hint="eastAsia" w:ascii="宋体" w:hAnsi="宋体" w:eastAsia="宋体" w:cs="宋体"/>
                <w:sz w:val="21"/>
                <w:szCs w:val="21"/>
                <w:vertAlign w:val="baseline"/>
                <w:lang w:val="en-US" w:eastAsia="zh-CN" w:bidi="zh-CN"/>
              </w:rPr>
              <w:sym w:font="Wingdings 2" w:char="00A3"/>
            </w:r>
          </w:p>
        </w:tc>
        <w:tc>
          <w:tcPr>
            <w:tcW w:w="699" w:type="dxa"/>
          </w:tcPr>
          <w:p w14:paraId="59D226DA">
            <w:pPr>
              <w:spacing w:line="240" w:lineRule="auto"/>
              <w:jc w:val="both"/>
              <w:rPr>
                <w:rFonts w:hint="eastAsia" w:ascii="宋体" w:hAnsi="宋体" w:eastAsia="宋体" w:cs="宋体"/>
                <w:sz w:val="21"/>
                <w:szCs w:val="21"/>
                <w:vertAlign w:val="baseline"/>
                <w:lang w:val="en-US" w:eastAsia="zh-CN"/>
              </w:rPr>
            </w:pPr>
          </w:p>
        </w:tc>
      </w:tr>
      <w:tr w14:paraId="7B479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40941FD0">
            <w:pPr>
              <w:spacing w:line="48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工作能力</w:t>
            </w:r>
          </w:p>
        </w:tc>
        <w:tc>
          <w:tcPr>
            <w:tcW w:w="1655" w:type="dxa"/>
            <w:vAlign w:val="center"/>
          </w:tcPr>
          <w:p w14:paraId="25687C8F">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巡逻与监控</w:t>
            </w:r>
          </w:p>
        </w:tc>
        <w:tc>
          <w:tcPr>
            <w:tcW w:w="5494" w:type="dxa"/>
            <w:vAlign w:val="center"/>
          </w:tcPr>
          <w:p w14:paraId="34A891B2">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按规定进行巡逻和监控，确保医院内外安全</w:t>
            </w:r>
          </w:p>
          <w:p w14:paraId="386B4F08">
            <w:pPr>
              <w:spacing w:line="240" w:lineRule="auto"/>
              <w:jc w:val="both"/>
              <w:rPr>
                <w:rFonts w:hint="eastAsia" w:ascii="宋体" w:hAnsi="宋体" w:eastAsia="宋体" w:cs="宋体"/>
                <w:sz w:val="21"/>
                <w:szCs w:val="21"/>
                <w:vertAlign w:val="baseline"/>
                <w:lang w:val="en-US" w:eastAsia="zh-CN"/>
              </w:rPr>
            </w:pPr>
          </w:p>
        </w:tc>
        <w:tc>
          <w:tcPr>
            <w:tcW w:w="1802" w:type="dxa"/>
            <w:vAlign w:val="center"/>
          </w:tcPr>
          <w:p w14:paraId="1A00F3E2">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合格</w:t>
            </w:r>
            <w:r>
              <w:rPr>
                <w:rFonts w:hint="eastAsia" w:ascii="宋体" w:hAnsi="宋体" w:eastAsia="宋体" w:cs="宋体"/>
                <w:sz w:val="21"/>
                <w:szCs w:val="21"/>
                <w:vertAlign w:val="baseline"/>
                <w:lang w:val="en-US" w:eastAsia="zh-CN"/>
              </w:rPr>
              <w:sym w:font="Wingdings 2" w:char="00A3"/>
            </w:r>
            <w:r>
              <w:rPr>
                <w:rFonts w:hint="eastAsia" w:ascii="宋体" w:hAnsi="宋体" w:eastAsia="宋体" w:cs="宋体"/>
                <w:sz w:val="21"/>
                <w:szCs w:val="21"/>
                <w:vertAlign w:val="baseline"/>
                <w:lang w:val="en-US" w:eastAsia="zh-CN"/>
              </w:rPr>
              <w:t>不合格</w:t>
            </w:r>
            <w:r>
              <w:rPr>
                <w:rFonts w:hint="eastAsia" w:ascii="宋体" w:hAnsi="宋体" w:eastAsia="宋体" w:cs="宋体"/>
                <w:sz w:val="21"/>
                <w:szCs w:val="21"/>
                <w:vertAlign w:val="baseline"/>
                <w:lang w:val="en-US" w:eastAsia="zh-CN"/>
              </w:rPr>
              <w:sym w:font="Wingdings 2" w:char="00A3"/>
            </w:r>
          </w:p>
        </w:tc>
        <w:tc>
          <w:tcPr>
            <w:tcW w:w="699" w:type="dxa"/>
          </w:tcPr>
          <w:p w14:paraId="02223F1C">
            <w:pPr>
              <w:spacing w:line="240" w:lineRule="auto"/>
              <w:jc w:val="both"/>
              <w:rPr>
                <w:rFonts w:hint="eastAsia" w:ascii="宋体" w:hAnsi="宋体" w:eastAsia="宋体" w:cs="宋体"/>
                <w:sz w:val="21"/>
                <w:szCs w:val="21"/>
                <w:vertAlign w:val="baseline"/>
                <w:lang w:val="en-US" w:eastAsia="zh-CN"/>
              </w:rPr>
            </w:pPr>
          </w:p>
        </w:tc>
      </w:tr>
      <w:tr w14:paraId="55E8E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5600F715">
            <w:pPr>
              <w:spacing w:line="480" w:lineRule="auto"/>
              <w:jc w:val="center"/>
              <w:rPr>
                <w:rFonts w:hint="eastAsia" w:ascii="宋体" w:hAnsi="宋体" w:eastAsia="宋体" w:cs="宋体"/>
                <w:b/>
                <w:bCs/>
                <w:sz w:val="21"/>
                <w:szCs w:val="21"/>
                <w:vertAlign w:val="baseline"/>
                <w:lang w:val="en-US" w:eastAsia="zh-CN"/>
              </w:rPr>
            </w:pPr>
          </w:p>
        </w:tc>
        <w:tc>
          <w:tcPr>
            <w:tcW w:w="1655" w:type="dxa"/>
            <w:shd w:val="clear" w:color="auto" w:fill="auto"/>
            <w:vAlign w:val="center"/>
          </w:tcPr>
          <w:p w14:paraId="188E9D9B">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rPr>
              <w:t>处理突发事件</w:t>
            </w:r>
          </w:p>
        </w:tc>
        <w:tc>
          <w:tcPr>
            <w:tcW w:w="5494" w:type="dxa"/>
            <w:shd w:val="clear" w:color="auto" w:fill="auto"/>
            <w:vAlign w:val="center"/>
          </w:tcPr>
          <w:p w14:paraId="39154ABB">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能妥善处理纠纷，盗窃，紧急医疗救援等突发事件</w:t>
            </w:r>
          </w:p>
          <w:p w14:paraId="7AE4D46E">
            <w:pPr>
              <w:spacing w:line="240" w:lineRule="auto"/>
              <w:ind w:left="0" w:leftChars="0" w:right="0" w:rightChars="0"/>
              <w:jc w:val="both"/>
              <w:rPr>
                <w:rFonts w:hint="eastAsia" w:ascii="宋体" w:hAnsi="宋体" w:eastAsia="宋体" w:cs="宋体"/>
                <w:sz w:val="21"/>
                <w:szCs w:val="21"/>
                <w:vertAlign w:val="baseline"/>
                <w:lang w:val="en-US" w:eastAsia="zh-CN"/>
              </w:rPr>
            </w:pPr>
          </w:p>
        </w:tc>
        <w:tc>
          <w:tcPr>
            <w:tcW w:w="1802" w:type="dxa"/>
            <w:shd w:val="clear" w:color="auto" w:fill="auto"/>
            <w:vAlign w:val="center"/>
          </w:tcPr>
          <w:p w14:paraId="3F5BAAE1">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bidi="zh-CN"/>
              </w:rPr>
              <w:t>能</w:t>
            </w:r>
            <w:r>
              <w:rPr>
                <w:rFonts w:hint="eastAsia" w:ascii="宋体" w:hAnsi="宋体" w:eastAsia="宋体" w:cs="宋体"/>
                <w:sz w:val="21"/>
                <w:szCs w:val="21"/>
                <w:vertAlign w:val="baseline"/>
                <w:lang w:val="en-US" w:eastAsia="zh-CN" w:bidi="zh-CN"/>
              </w:rPr>
              <w:sym w:font="Wingdings 2" w:char="00A3"/>
            </w:r>
            <w:r>
              <w:rPr>
                <w:rFonts w:hint="eastAsia" w:ascii="宋体" w:hAnsi="宋体" w:eastAsia="宋体" w:cs="宋体"/>
                <w:sz w:val="21"/>
                <w:szCs w:val="21"/>
                <w:vertAlign w:val="baseline"/>
                <w:lang w:val="en-US" w:eastAsia="zh-CN" w:bidi="zh-CN"/>
              </w:rPr>
              <w:t>不能</w:t>
            </w:r>
            <w:r>
              <w:rPr>
                <w:rFonts w:hint="eastAsia" w:ascii="宋体" w:hAnsi="宋体" w:eastAsia="宋体" w:cs="宋体"/>
                <w:sz w:val="21"/>
                <w:szCs w:val="21"/>
                <w:vertAlign w:val="baseline"/>
                <w:lang w:val="en-US" w:eastAsia="zh-CN" w:bidi="zh-CN"/>
              </w:rPr>
              <w:sym w:font="Wingdings 2" w:char="00A3"/>
            </w:r>
          </w:p>
        </w:tc>
        <w:tc>
          <w:tcPr>
            <w:tcW w:w="699" w:type="dxa"/>
          </w:tcPr>
          <w:p w14:paraId="666EC13E">
            <w:pPr>
              <w:spacing w:line="240" w:lineRule="auto"/>
              <w:jc w:val="both"/>
              <w:rPr>
                <w:rFonts w:hint="eastAsia" w:ascii="宋体" w:hAnsi="宋体" w:eastAsia="宋体" w:cs="宋体"/>
                <w:sz w:val="21"/>
                <w:szCs w:val="21"/>
                <w:vertAlign w:val="baseline"/>
                <w:lang w:val="en-US" w:eastAsia="zh-CN"/>
              </w:rPr>
            </w:pPr>
          </w:p>
        </w:tc>
      </w:tr>
      <w:tr w14:paraId="15C8F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353D5189">
            <w:pPr>
              <w:spacing w:line="480" w:lineRule="auto"/>
              <w:jc w:val="center"/>
              <w:rPr>
                <w:rFonts w:hint="eastAsia" w:ascii="宋体" w:hAnsi="宋体" w:eastAsia="宋体" w:cs="宋体"/>
                <w:b/>
                <w:bCs/>
                <w:sz w:val="21"/>
                <w:szCs w:val="21"/>
                <w:vertAlign w:val="baseline"/>
                <w:lang w:val="en-US" w:eastAsia="zh-CN"/>
              </w:rPr>
            </w:pPr>
          </w:p>
        </w:tc>
        <w:tc>
          <w:tcPr>
            <w:tcW w:w="1655" w:type="dxa"/>
            <w:shd w:val="clear" w:color="auto" w:fill="auto"/>
            <w:vAlign w:val="center"/>
          </w:tcPr>
          <w:p w14:paraId="6B2B0D72">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rPr>
              <w:t>沟通能力</w:t>
            </w:r>
          </w:p>
        </w:tc>
        <w:tc>
          <w:tcPr>
            <w:tcW w:w="5494" w:type="dxa"/>
            <w:shd w:val="clear" w:color="auto" w:fill="auto"/>
            <w:vAlign w:val="center"/>
          </w:tcPr>
          <w:p w14:paraId="368C4CFC">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具备良好的沟通和协调能力</w:t>
            </w:r>
          </w:p>
          <w:p w14:paraId="3CB846AC">
            <w:pPr>
              <w:spacing w:line="240" w:lineRule="auto"/>
              <w:ind w:left="0" w:leftChars="0" w:right="0" w:rightChars="0"/>
              <w:jc w:val="both"/>
              <w:rPr>
                <w:rFonts w:hint="eastAsia" w:ascii="宋体" w:hAnsi="宋体" w:eastAsia="宋体" w:cs="宋体"/>
                <w:sz w:val="21"/>
                <w:szCs w:val="21"/>
                <w:vertAlign w:val="baseline"/>
                <w:lang w:val="en-US" w:eastAsia="zh-CN"/>
              </w:rPr>
            </w:pPr>
          </w:p>
        </w:tc>
        <w:tc>
          <w:tcPr>
            <w:tcW w:w="1802" w:type="dxa"/>
            <w:shd w:val="clear" w:color="auto" w:fill="auto"/>
            <w:vAlign w:val="center"/>
          </w:tcPr>
          <w:p w14:paraId="0F000D6B">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bidi="zh-CN"/>
              </w:rPr>
              <w:t>良好</w:t>
            </w:r>
            <w:r>
              <w:rPr>
                <w:rFonts w:hint="eastAsia" w:ascii="宋体" w:hAnsi="宋体" w:eastAsia="宋体" w:cs="宋体"/>
                <w:sz w:val="21"/>
                <w:szCs w:val="21"/>
                <w:vertAlign w:val="baseline"/>
                <w:lang w:val="en-US" w:eastAsia="zh-CN" w:bidi="zh-CN"/>
              </w:rPr>
              <w:sym w:font="Wingdings 2" w:char="00A3"/>
            </w:r>
            <w:r>
              <w:rPr>
                <w:rFonts w:hint="eastAsia" w:ascii="宋体" w:hAnsi="宋体" w:eastAsia="宋体" w:cs="宋体"/>
                <w:sz w:val="21"/>
                <w:szCs w:val="21"/>
                <w:vertAlign w:val="baseline"/>
                <w:lang w:val="en-US" w:eastAsia="zh-CN" w:bidi="zh-CN"/>
              </w:rPr>
              <w:t>不足</w:t>
            </w:r>
            <w:r>
              <w:rPr>
                <w:rFonts w:hint="eastAsia" w:ascii="宋体" w:hAnsi="宋体" w:eastAsia="宋体" w:cs="宋体"/>
                <w:sz w:val="21"/>
                <w:szCs w:val="21"/>
                <w:vertAlign w:val="baseline"/>
                <w:lang w:val="en-US" w:eastAsia="zh-CN" w:bidi="zh-CN"/>
              </w:rPr>
              <w:sym w:font="Wingdings 2" w:char="00A3"/>
            </w:r>
          </w:p>
        </w:tc>
        <w:tc>
          <w:tcPr>
            <w:tcW w:w="699" w:type="dxa"/>
          </w:tcPr>
          <w:p w14:paraId="5E5A695B">
            <w:pPr>
              <w:spacing w:line="240" w:lineRule="auto"/>
              <w:jc w:val="both"/>
              <w:rPr>
                <w:rFonts w:hint="eastAsia" w:ascii="宋体" w:hAnsi="宋体" w:eastAsia="宋体" w:cs="宋体"/>
                <w:sz w:val="21"/>
                <w:szCs w:val="21"/>
                <w:vertAlign w:val="baseline"/>
                <w:lang w:val="en-US" w:eastAsia="zh-CN"/>
              </w:rPr>
            </w:pPr>
          </w:p>
        </w:tc>
      </w:tr>
      <w:tr w14:paraId="7BD64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3CE255E3">
            <w:pPr>
              <w:spacing w:line="48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服务态度</w:t>
            </w:r>
          </w:p>
        </w:tc>
        <w:tc>
          <w:tcPr>
            <w:tcW w:w="1655" w:type="dxa"/>
            <w:shd w:val="clear" w:color="auto" w:fill="auto"/>
            <w:vAlign w:val="center"/>
          </w:tcPr>
          <w:p w14:paraId="77F1F683">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rPr>
              <w:t>礼貌友善</w:t>
            </w:r>
          </w:p>
        </w:tc>
        <w:tc>
          <w:tcPr>
            <w:tcW w:w="5494" w:type="dxa"/>
            <w:shd w:val="clear" w:color="auto" w:fill="auto"/>
            <w:vAlign w:val="center"/>
          </w:tcPr>
          <w:p w14:paraId="07D0C676">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对患者和其他工作人员友善、有礼貌</w:t>
            </w:r>
          </w:p>
          <w:p w14:paraId="57FA61A7">
            <w:pPr>
              <w:spacing w:line="240" w:lineRule="auto"/>
              <w:ind w:left="0" w:leftChars="0" w:right="0" w:rightChars="0"/>
              <w:jc w:val="both"/>
              <w:rPr>
                <w:rFonts w:hint="eastAsia" w:ascii="宋体" w:hAnsi="宋体" w:eastAsia="宋体" w:cs="宋体"/>
                <w:sz w:val="21"/>
                <w:szCs w:val="21"/>
                <w:vertAlign w:val="baseline"/>
                <w:lang w:val="en-US" w:eastAsia="zh-CN"/>
              </w:rPr>
            </w:pPr>
          </w:p>
        </w:tc>
        <w:tc>
          <w:tcPr>
            <w:tcW w:w="1802" w:type="dxa"/>
            <w:shd w:val="clear" w:color="auto" w:fill="auto"/>
            <w:vAlign w:val="center"/>
          </w:tcPr>
          <w:p w14:paraId="62E401F5">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bidi="zh-CN"/>
              </w:rPr>
              <w:t>良好</w:t>
            </w:r>
            <w:r>
              <w:rPr>
                <w:rFonts w:hint="eastAsia" w:ascii="宋体" w:hAnsi="宋体" w:eastAsia="宋体" w:cs="宋体"/>
                <w:sz w:val="21"/>
                <w:szCs w:val="21"/>
                <w:vertAlign w:val="baseline"/>
                <w:lang w:val="en-US" w:eastAsia="zh-CN" w:bidi="zh-CN"/>
              </w:rPr>
              <w:sym w:font="Wingdings 2" w:char="00A3"/>
            </w:r>
            <w:r>
              <w:rPr>
                <w:rFonts w:hint="eastAsia" w:ascii="宋体" w:hAnsi="宋体" w:eastAsia="宋体" w:cs="宋体"/>
                <w:sz w:val="21"/>
                <w:szCs w:val="21"/>
                <w:vertAlign w:val="baseline"/>
                <w:lang w:val="en-US" w:eastAsia="zh-CN" w:bidi="zh-CN"/>
              </w:rPr>
              <w:t>不足</w:t>
            </w:r>
            <w:r>
              <w:rPr>
                <w:rFonts w:hint="eastAsia" w:ascii="宋体" w:hAnsi="宋体" w:eastAsia="宋体" w:cs="宋体"/>
                <w:sz w:val="21"/>
                <w:szCs w:val="21"/>
                <w:vertAlign w:val="baseline"/>
                <w:lang w:val="en-US" w:eastAsia="zh-CN" w:bidi="zh-CN"/>
              </w:rPr>
              <w:sym w:font="Wingdings 2" w:char="00A3"/>
            </w:r>
          </w:p>
        </w:tc>
        <w:tc>
          <w:tcPr>
            <w:tcW w:w="699" w:type="dxa"/>
            <w:shd w:val="clear" w:color="auto" w:fill="auto"/>
            <w:vAlign w:val="top"/>
          </w:tcPr>
          <w:p w14:paraId="22A261C1">
            <w:pPr>
              <w:spacing w:line="240" w:lineRule="auto"/>
              <w:ind w:left="0" w:leftChars="0" w:right="0" w:rightChars="0"/>
              <w:jc w:val="both"/>
              <w:rPr>
                <w:rFonts w:hint="eastAsia" w:ascii="宋体" w:hAnsi="宋体" w:eastAsia="宋体" w:cs="宋体"/>
                <w:sz w:val="21"/>
                <w:szCs w:val="21"/>
                <w:vertAlign w:val="baseline"/>
                <w:lang w:val="en-US" w:eastAsia="zh-CN" w:bidi="zh-CN"/>
              </w:rPr>
            </w:pPr>
          </w:p>
        </w:tc>
      </w:tr>
      <w:tr w14:paraId="0B74E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78053FE8">
            <w:pPr>
              <w:spacing w:line="480" w:lineRule="auto"/>
              <w:jc w:val="center"/>
              <w:rPr>
                <w:rFonts w:hint="eastAsia" w:ascii="宋体" w:hAnsi="宋体" w:eastAsia="宋体" w:cs="宋体"/>
                <w:b/>
                <w:bCs/>
                <w:sz w:val="21"/>
                <w:szCs w:val="21"/>
                <w:vertAlign w:val="baseline"/>
                <w:lang w:val="en-US" w:eastAsia="zh-CN"/>
              </w:rPr>
            </w:pPr>
          </w:p>
        </w:tc>
        <w:tc>
          <w:tcPr>
            <w:tcW w:w="1655" w:type="dxa"/>
            <w:shd w:val="clear" w:color="auto" w:fill="auto"/>
            <w:vAlign w:val="center"/>
          </w:tcPr>
          <w:p w14:paraId="42BB6E2E">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rPr>
              <w:t>提供帮助</w:t>
            </w:r>
          </w:p>
        </w:tc>
        <w:tc>
          <w:tcPr>
            <w:tcW w:w="5494" w:type="dxa"/>
            <w:shd w:val="clear" w:color="auto" w:fill="auto"/>
            <w:vAlign w:val="center"/>
          </w:tcPr>
          <w:p w14:paraId="2DE6DEB6">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能及时为需要帮助的人提供支持</w:t>
            </w:r>
          </w:p>
          <w:p w14:paraId="772B5A10">
            <w:pPr>
              <w:spacing w:line="240" w:lineRule="auto"/>
              <w:ind w:left="0" w:leftChars="0" w:right="0" w:rightChars="0"/>
              <w:jc w:val="both"/>
              <w:rPr>
                <w:rFonts w:hint="eastAsia" w:ascii="宋体" w:hAnsi="宋体" w:eastAsia="宋体" w:cs="宋体"/>
                <w:sz w:val="21"/>
                <w:szCs w:val="21"/>
                <w:vertAlign w:val="baseline"/>
                <w:lang w:val="en-US" w:eastAsia="zh-CN"/>
              </w:rPr>
            </w:pPr>
          </w:p>
        </w:tc>
        <w:tc>
          <w:tcPr>
            <w:tcW w:w="1802" w:type="dxa"/>
            <w:shd w:val="clear" w:color="auto" w:fill="auto"/>
            <w:vAlign w:val="center"/>
          </w:tcPr>
          <w:p w14:paraId="396E52B8">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bidi="zh-CN"/>
              </w:rPr>
              <w:t>能</w:t>
            </w:r>
            <w:r>
              <w:rPr>
                <w:rFonts w:hint="eastAsia" w:ascii="宋体" w:hAnsi="宋体" w:eastAsia="宋体" w:cs="宋体"/>
                <w:sz w:val="21"/>
                <w:szCs w:val="21"/>
                <w:vertAlign w:val="baseline"/>
                <w:lang w:val="en-US" w:eastAsia="zh-CN" w:bidi="zh-CN"/>
              </w:rPr>
              <w:sym w:font="Wingdings 2" w:char="00A3"/>
            </w:r>
            <w:r>
              <w:rPr>
                <w:rFonts w:hint="eastAsia" w:ascii="宋体" w:hAnsi="宋体" w:eastAsia="宋体" w:cs="宋体"/>
                <w:sz w:val="21"/>
                <w:szCs w:val="21"/>
                <w:vertAlign w:val="baseline"/>
                <w:lang w:val="en-US" w:eastAsia="zh-CN" w:bidi="zh-CN"/>
              </w:rPr>
              <w:t>不能</w:t>
            </w:r>
            <w:r>
              <w:rPr>
                <w:rFonts w:hint="eastAsia" w:ascii="宋体" w:hAnsi="宋体" w:eastAsia="宋体" w:cs="宋体"/>
                <w:sz w:val="21"/>
                <w:szCs w:val="21"/>
                <w:vertAlign w:val="baseline"/>
                <w:lang w:val="en-US" w:eastAsia="zh-CN" w:bidi="zh-CN"/>
              </w:rPr>
              <w:sym w:font="Wingdings 2" w:char="00A3"/>
            </w:r>
          </w:p>
        </w:tc>
        <w:tc>
          <w:tcPr>
            <w:tcW w:w="699" w:type="dxa"/>
            <w:shd w:val="clear" w:color="auto" w:fill="auto"/>
            <w:vAlign w:val="top"/>
          </w:tcPr>
          <w:p w14:paraId="03DA7930">
            <w:pPr>
              <w:spacing w:line="240" w:lineRule="auto"/>
              <w:ind w:left="0" w:leftChars="0" w:right="0" w:rightChars="0"/>
              <w:jc w:val="both"/>
              <w:rPr>
                <w:rFonts w:hint="eastAsia" w:ascii="宋体" w:hAnsi="宋体" w:eastAsia="宋体" w:cs="宋体"/>
                <w:sz w:val="21"/>
                <w:szCs w:val="21"/>
                <w:vertAlign w:val="baseline"/>
                <w:lang w:val="en-US" w:eastAsia="zh-CN" w:bidi="zh-CN"/>
              </w:rPr>
            </w:pPr>
          </w:p>
        </w:tc>
      </w:tr>
      <w:tr w14:paraId="0D308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20F33C14">
            <w:pPr>
              <w:spacing w:line="48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装备使用</w:t>
            </w:r>
          </w:p>
        </w:tc>
        <w:tc>
          <w:tcPr>
            <w:tcW w:w="1655" w:type="dxa"/>
            <w:shd w:val="clear" w:color="auto" w:fill="auto"/>
            <w:vAlign w:val="center"/>
          </w:tcPr>
          <w:p w14:paraId="22874B91">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装备维护</w:t>
            </w:r>
          </w:p>
        </w:tc>
        <w:tc>
          <w:tcPr>
            <w:tcW w:w="5494" w:type="dxa"/>
            <w:shd w:val="clear" w:color="auto" w:fill="auto"/>
            <w:vAlign w:val="center"/>
          </w:tcPr>
          <w:p w14:paraId="6E1F2B42">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了解装备的日常维护和保养方法</w:t>
            </w:r>
          </w:p>
          <w:p w14:paraId="4BCF8BB3">
            <w:pPr>
              <w:spacing w:line="240" w:lineRule="auto"/>
              <w:ind w:left="0" w:leftChars="0" w:right="0" w:rightChars="0"/>
              <w:jc w:val="both"/>
              <w:rPr>
                <w:rFonts w:hint="eastAsia" w:ascii="宋体" w:hAnsi="宋体" w:eastAsia="宋体" w:cs="宋体"/>
                <w:sz w:val="21"/>
                <w:szCs w:val="21"/>
                <w:vertAlign w:val="baseline"/>
                <w:lang w:val="en-US" w:eastAsia="zh-CN"/>
              </w:rPr>
            </w:pPr>
          </w:p>
        </w:tc>
        <w:tc>
          <w:tcPr>
            <w:tcW w:w="1802" w:type="dxa"/>
            <w:shd w:val="clear" w:color="auto" w:fill="auto"/>
            <w:vAlign w:val="center"/>
          </w:tcPr>
          <w:p w14:paraId="71EE7A2A">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bidi="zh-CN"/>
              </w:rPr>
              <w:t>了解</w:t>
            </w:r>
            <w:r>
              <w:rPr>
                <w:rFonts w:hint="eastAsia" w:ascii="宋体" w:hAnsi="宋体" w:eastAsia="宋体" w:cs="宋体"/>
                <w:sz w:val="21"/>
                <w:szCs w:val="21"/>
                <w:vertAlign w:val="baseline"/>
                <w:lang w:val="en-US" w:eastAsia="zh-CN" w:bidi="zh-CN"/>
              </w:rPr>
              <w:sym w:font="Wingdings 2" w:char="00A3"/>
            </w:r>
            <w:r>
              <w:rPr>
                <w:rFonts w:hint="eastAsia" w:ascii="宋体" w:hAnsi="宋体" w:eastAsia="宋体" w:cs="宋体"/>
                <w:sz w:val="21"/>
                <w:szCs w:val="21"/>
                <w:vertAlign w:val="baseline"/>
                <w:lang w:val="en-US" w:eastAsia="zh-CN" w:bidi="zh-CN"/>
              </w:rPr>
              <w:t>不了解</w:t>
            </w:r>
            <w:r>
              <w:rPr>
                <w:rFonts w:hint="eastAsia" w:ascii="宋体" w:hAnsi="宋体" w:eastAsia="宋体" w:cs="宋体"/>
                <w:sz w:val="21"/>
                <w:szCs w:val="21"/>
                <w:vertAlign w:val="baseline"/>
                <w:lang w:val="en-US" w:eastAsia="zh-CN" w:bidi="zh-CN"/>
              </w:rPr>
              <w:sym w:font="Wingdings 2" w:char="00A3"/>
            </w:r>
          </w:p>
        </w:tc>
        <w:tc>
          <w:tcPr>
            <w:tcW w:w="699" w:type="dxa"/>
            <w:shd w:val="clear" w:color="auto" w:fill="auto"/>
            <w:vAlign w:val="top"/>
          </w:tcPr>
          <w:p w14:paraId="37D96116">
            <w:pPr>
              <w:spacing w:line="240" w:lineRule="auto"/>
              <w:ind w:left="0" w:leftChars="0" w:right="0" w:rightChars="0"/>
              <w:jc w:val="both"/>
              <w:rPr>
                <w:rFonts w:hint="eastAsia" w:ascii="宋体" w:hAnsi="宋体" w:eastAsia="宋体" w:cs="宋体"/>
                <w:sz w:val="21"/>
                <w:szCs w:val="21"/>
                <w:vertAlign w:val="baseline"/>
                <w:lang w:val="en-US" w:eastAsia="zh-CN" w:bidi="zh-CN"/>
              </w:rPr>
            </w:pPr>
          </w:p>
        </w:tc>
      </w:tr>
      <w:tr w14:paraId="446D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2D68121C">
            <w:pPr>
              <w:spacing w:line="480" w:lineRule="auto"/>
              <w:jc w:val="center"/>
              <w:rPr>
                <w:rFonts w:hint="eastAsia" w:ascii="宋体" w:hAnsi="宋体" w:eastAsia="宋体" w:cs="宋体"/>
                <w:b/>
                <w:bCs/>
                <w:sz w:val="21"/>
                <w:szCs w:val="21"/>
                <w:vertAlign w:val="baseline"/>
                <w:lang w:val="en-US" w:eastAsia="zh-CN"/>
              </w:rPr>
            </w:pPr>
          </w:p>
        </w:tc>
        <w:tc>
          <w:tcPr>
            <w:tcW w:w="1655" w:type="dxa"/>
            <w:vAlign w:val="center"/>
          </w:tcPr>
          <w:p w14:paraId="545B1C06">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装备熟悉度</w:t>
            </w:r>
          </w:p>
        </w:tc>
        <w:tc>
          <w:tcPr>
            <w:tcW w:w="5494" w:type="dxa"/>
            <w:vAlign w:val="center"/>
          </w:tcPr>
          <w:p w14:paraId="4A09D0F9">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熟悉并能正确使用橡胶警棍、钢叉、防爆头盔等装备</w:t>
            </w:r>
          </w:p>
          <w:p w14:paraId="2672AD3B">
            <w:pPr>
              <w:spacing w:line="240" w:lineRule="auto"/>
              <w:jc w:val="both"/>
              <w:rPr>
                <w:rFonts w:hint="eastAsia" w:ascii="宋体" w:hAnsi="宋体" w:eastAsia="宋体" w:cs="宋体"/>
                <w:sz w:val="21"/>
                <w:szCs w:val="21"/>
                <w:vertAlign w:val="baseline"/>
                <w:lang w:val="en-US" w:eastAsia="zh-CN"/>
              </w:rPr>
            </w:pPr>
          </w:p>
        </w:tc>
        <w:tc>
          <w:tcPr>
            <w:tcW w:w="1802" w:type="dxa"/>
            <w:vAlign w:val="center"/>
          </w:tcPr>
          <w:p w14:paraId="74840BC7">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熟练</w:t>
            </w:r>
            <w:r>
              <w:rPr>
                <w:rFonts w:hint="eastAsia" w:ascii="宋体" w:hAnsi="宋体" w:eastAsia="宋体" w:cs="宋体"/>
                <w:sz w:val="21"/>
                <w:szCs w:val="21"/>
                <w:vertAlign w:val="baseline"/>
                <w:lang w:val="en-US" w:eastAsia="zh-CN"/>
              </w:rPr>
              <w:sym w:font="Wingdings 2" w:char="00A3"/>
            </w:r>
            <w:r>
              <w:rPr>
                <w:rFonts w:hint="eastAsia" w:ascii="宋体" w:hAnsi="宋体" w:eastAsia="宋体" w:cs="宋体"/>
                <w:sz w:val="21"/>
                <w:szCs w:val="21"/>
                <w:vertAlign w:val="baseline"/>
                <w:lang w:val="en-US" w:eastAsia="zh-CN"/>
              </w:rPr>
              <w:t>不熟练</w:t>
            </w:r>
            <w:r>
              <w:rPr>
                <w:rFonts w:hint="eastAsia" w:ascii="宋体" w:hAnsi="宋体" w:eastAsia="宋体" w:cs="宋体"/>
                <w:sz w:val="21"/>
                <w:szCs w:val="21"/>
                <w:vertAlign w:val="baseline"/>
                <w:lang w:val="en-US" w:eastAsia="zh-CN"/>
              </w:rPr>
              <w:sym w:font="Wingdings 2" w:char="00A3"/>
            </w:r>
          </w:p>
        </w:tc>
        <w:tc>
          <w:tcPr>
            <w:tcW w:w="699" w:type="dxa"/>
          </w:tcPr>
          <w:p w14:paraId="58CE14C3">
            <w:pPr>
              <w:spacing w:line="240" w:lineRule="auto"/>
              <w:jc w:val="both"/>
              <w:rPr>
                <w:rFonts w:hint="eastAsia" w:ascii="宋体" w:hAnsi="宋体" w:eastAsia="宋体" w:cs="宋体"/>
                <w:sz w:val="21"/>
                <w:szCs w:val="21"/>
                <w:vertAlign w:val="baseline"/>
                <w:lang w:val="en-US" w:eastAsia="zh-CN"/>
              </w:rPr>
            </w:pPr>
          </w:p>
        </w:tc>
      </w:tr>
      <w:tr w14:paraId="71E04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1E4E6318">
            <w:pPr>
              <w:spacing w:line="48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应急处置</w:t>
            </w:r>
          </w:p>
        </w:tc>
        <w:tc>
          <w:tcPr>
            <w:tcW w:w="1655" w:type="dxa"/>
            <w:shd w:val="clear" w:color="auto" w:fill="auto"/>
            <w:vAlign w:val="center"/>
          </w:tcPr>
          <w:p w14:paraId="5642A2AF">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rPr>
              <w:t>处置能力</w:t>
            </w:r>
          </w:p>
        </w:tc>
        <w:tc>
          <w:tcPr>
            <w:tcW w:w="5494" w:type="dxa"/>
            <w:shd w:val="clear" w:color="auto" w:fill="auto"/>
            <w:vAlign w:val="center"/>
          </w:tcPr>
          <w:p w14:paraId="3A3C64D8">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具备突发事件先期处置能力</w:t>
            </w:r>
          </w:p>
          <w:p w14:paraId="1E94959C">
            <w:pPr>
              <w:spacing w:line="240" w:lineRule="auto"/>
              <w:ind w:left="0" w:leftChars="0" w:right="0" w:rightChars="0"/>
              <w:jc w:val="both"/>
              <w:rPr>
                <w:rFonts w:hint="eastAsia" w:ascii="宋体" w:hAnsi="宋体" w:eastAsia="宋体" w:cs="宋体"/>
                <w:sz w:val="21"/>
                <w:szCs w:val="21"/>
                <w:vertAlign w:val="baseline"/>
                <w:lang w:val="en-US" w:eastAsia="zh-CN"/>
              </w:rPr>
            </w:pPr>
          </w:p>
        </w:tc>
        <w:tc>
          <w:tcPr>
            <w:tcW w:w="1802" w:type="dxa"/>
            <w:vAlign w:val="center"/>
          </w:tcPr>
          <w:p w14:paraId="6FE3946A">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能</w:t>
            </w:r>
            <w:r>
              <w:rPr>
                <w:rFonts w:hint="eastAsia" w:ascii="宋体" w:hAnsi="宋体" w:eastAsia="宋体" w:cs="宋体"/>
                <w:sz w:val="21"/>
                <w:szCs w:val="21"/>
                <w:vertAlign w:val="baseline"/>
                <w:lang w:val="en-US" w:eastAsia="zh-CN"/>
              </w:rPr>
              <w:sym w:font="Wingdings 2" w:char="00A3"/>
            </w:r>
            <w:r>
              <w:rPr>
                <w:rFonts w:hint="eastAsia" w:ascii="宋体" w:hAnsi="宋体" w:eastAsia="宋体" w:cs="宋体"/>
                <w:sz w:val="21"/>
                <w:szCs w:val="21"/>
                <w:vertAlign w:val="baseline"/>
                <w:lang w:val="en-US" w:eastAsia="zh-CN"/>
              </w:rPr>
              <w:t>不能</w:t>
            </w:r>
            <w:r>
              <w:rPr>
                <w:rFonts w:hint="eastAsia" w:ascii="宋体" w:hAnsi="宋体" w:eastAsia="宋体" w:cs="宋体"/>
                <w:sz w:val="21"/>
                <w:szCs w:val="21"/>
                <w:vertAlign w:val="baseline"/>
                <w:lang w:val="en-US" w:eastAsia="zh-CN"/>
              </w:rPr>
              <w:sym w:font="Wingdings 2" w:char="00A3"/>
            </w:r>
          </w:p>
        </w:tc>
        <w:tc>
          <w:tcPr>
            <w:tcW w:w="699" w:type="dxa"/>
          </w:tcPr>
          <w:p w14:paraId="01C351A6">
            <w:pPr>
              <w:spacing w:line="240" w:lineRule="auto"/>
              <w:jc w:val="both"/>
              <w:rPr>
                <w:rFonts w:hint="eastAsia" w:ascii="宋体" w:hAnsi="宋体" w:eastAsia="宋体" w:cs="宋体"/>
                <w:sz w:val="21"/>
                <w:szCs w:val="21"/>
                <w:vertAlign w:val="baseline"/>
                <w:lang w:val="en-US" w:eastAsia="zh-CN"/>
              </w:rPr>
            </w:pPr>
          </w:p>
        </w:tc>
      </w:tr>
      <w:tr w14:paraId="61AE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3409D45B">
            <w:pPr>
              <w:spacing w:line="480" w:lineRule="auto"/>
              <w:jc w:val="center"/>
              <w:rPr>
                <w:rFonts w:hint="eastAsia" w:ascii="宋体" w:hAnsi="宋体" w:eastAsia="宋体" w:cs="宋体"/>
                <w:b/>
                <w:bCs/>
                <w:sz w:val="21"/>
                <w:szCs w:val="21"/>
                <w:vertAlign w:val="baseline"/>
                <w:lang w:val="en-US" w:eastAsia="zh-CN"/>
              </w:rPr>
            </w:pPr>
          </w:p>
        </w:tc>
        <w:tc>
          <w:tcPr>
            <w:tcW w:w="1655" w:type="dxa"/>
            <w:shd w:val="clear" w:color="auto" w:fill="auto"/>
            <w:vAlign w:val="center"/>
          </w:tcPr>
          <w:p w14:paraId="1D3457BE">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rPr>
              <w:t>应急预案</w:t>
            </w:r>
          </w:p>
        </w:tc>
        <w:tc>
          <w:tcPr>
            <w:tcW w:w="5494" w:type="dxa"/>
            <w:shd w:val="clear" w:color="auto" w:fill="auto"/>
            <w:vAlign w:val="center"/>
          </w:tcPr>
          <w:p w14:paraId="5F8A6C88">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熟悉医院保安服务方案及突发事件应急预案</w:t>
            </w:r>
          </w:p>
          <w:p w14:paraId="6C55C6C0">
            <w:pPr>
              <w:spacing w:line="240" w:lineRule="auto"/>
              <w:ind w:left="0" w:leftChars="0" w:right="0" w:rightChars="0"/>
              <w:jc w:val="both"/>
              <w:rPr>
                <w:rFonts w:hint="eastAsia" w:ascii="宋体" w:hAnsi="宋体" w:eastAsia="宋体" w:cs="宋体"/>
                <w:sz w:val="21"/>
                <w:szCs w:val="21"/>
                <w:vertAlign w:val="baseline"/>
                <w:lang w:val="en-US" w:eastAsia="zh-CN"/>
              </w:rPr>
            </w:pPr>
          </w:p>
        </w:tc>
        <w:tc>
          <w:tcPr>
            <w:tcW w:w="1802" w:type="dxa"/>
            <w:vAlign w:val="center"/>
          </w:tcPr>
          <w:p w14:paraId="20CC8D95">
            <w:pPr>
              <w:spacing w:line="240" w:lineRule="auto"/>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熟悉</w:t>
            </w:r>
            <w:r>
              <w:rPr>
                <w:rFonts w:hint="eastAsia" w:ascii="宋体" w:hAnsi="宋体" w:eastAsia="宋体" w:cs="宋体"/>
                <w:sz w:val="21"/>
                <w:szCs w:val="21"/>
                <w:vertAlign w:val="baseline"/>
                <w:lang w:val="en-US" w:eastAsia="zh-CN"/>
              </w:rPr>
              <w:sym w:font="Wingdings 2" w:char="00A3"/>
            </w:r>
            <w:r>
              <w:rPr>
                <w:rFonts w:hint="eastAsia" w:ascii="宋体" w:hAnsi="宋体" w:eastAsia="宋体" w:cs="宋体"/>
                <w:sz w:val="21"/>
                <w:szCs w:val="21"/>
                <w:vertAlign w:val="baseline"/>
                <w:lang w:val="en-US" w:eastAsia="zh-CN"/>
              </w:rPr>
              <w:t>不熟悉</w:t>
            </w:r>
            <w:r>
              <w:rPr>
                <w:rFonts w:hint="eastAsia" w:ascii="宋体" w:hAnsi="宋体" w:eastAsia="宋体" w:cs="宋体"/>
                <w:sz w:val="21"/>
                <w:szCs w:val="21"/>
                <w:vertAlign w:val="baseline"/>
                <w:lang w:val="en-US" w:eastAsia="zh-CN"/>
              </w:rPr>
              <w:sym w:font="Wingdings 2" w:char="00A3"/>
            </w:r>
          </w:p>
        </w:tc>
        <w:tc>
          <w:tcPr>
            <w:tcW w:w="699" w:type="dxa"/>
          </w:tcPr>
          <w:p w14:paraId="2F2B10E0">
            <w:pPr>
              <w:spacing w:line="240" w:lineRule="auto"/>
              <w:jc w:val="both"/>
              <w:rPr>
                <w:rFonts w:hint="eastAsia" w:ascii="宋体" w:hAnsi="宋体" w:eastAsia="宋体" w:cs="宋体"/>
                <w:sz w:val="21"/>
                <w:szCs w:val="21"/>
                <w:vertAlign w:val="baseline"/>
                <w:lang w:val="en-US" w:eastAsia="zh-CN"/>
              </w:rPr>
            </w:pPr>
          </w:p>
        </w:tc>
      </w:tr>
      <w:tr w14:paraId="69B7D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6BC82A7B">
            <w:pPr>
              <w:spacing w:line="48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团队协作</w:t>
            </w:r>
          </w:p>
        </w:tc>
        <w:tc>
          <w:tcPr>
            <w:tcW w:w="1655" w:type="dxa"/>
            <w:shd w:val="clear" w:color="auto" w:fill="auto"/>
            <w:vAlign w:val="center"/>
          </w:tcPr>
          <w:p w14:paraId="021A6A38">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rPr>
              <w:t>合作精神</w:t>
            </w:r>
          </w:p>
        </w:tc>
        <w:tc>
          <w:tcPr>
            <w:tcW w:w="5494" w:type="dxa"/>
            <w:shd w:val="clear" w:color="auto" w:fill="auto"/>
            <w:vAlign w:val="center"/>
          </w:tcPr>
          <w:p w14:paraId="2BCD9103">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具备团队合作精神个应变能力</w:t>
            </w:r>
          </w:p>
          <w:p w14:paraId="60F5B0EE">
            <w:pPr>
              <w:spacing w:line="240" w:lineRule="auto"/>
              <w:ind w:left="0" w:leftChars="0" w:right="0" w:rightChars="0"/>
              <w:jc w:val="both"/>
              <w:rPr>
                <w:rFonts w:hint="eastAsia" w:ascii="宋体" w:hAnsi="宋体" w:eastAsia="宋体" w:cs="宋体"/>
                <w:sz w:val="21"/>
                <w:szCs w:val="21"/>
                <w:vertAlign w:val="baseline"/>
                <w:lang w:val="en-US" w:eastAsia="zh-CN"/>
              </w:rPr>
            </w:pPr>
          </w:p>
        </w:tc>
        <w:tc>
          <w:tcPr>
            <w:tcW w:w="1802" w:type="dxa"/>
            <w:shd w:val="clear" w:color="auto" w:fill="auto"/>
            <w:vAlign w:val="center"/>
          </w:tcPr>
          <w:p w14:paraId="382FAF31">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bidi="zh-CN"/>
              </w:rPr>
              <w:t>良好</w:t>
            </w:r>
            <w:r>
              <w:rPr>
                <w:rFonts w:hint="eastAsia" w:ascii="宋体" w:hAnsi="宋体" w:eastAsia="宋体" w:cs="宋体"/>
                <w:sz w:val="21"/>
                <w:szCs w:val="21"/>
                <w:vertAlign w:val="baseline"/>
                <w:lang w:val="en-US" w:eastAsia="zh-CN" w:bidi="zh-CN"/>
              </w:rPr>
              <w:sym w:font="Wingdings 2" w:char="00A3"/>
            </w:r>
            <w:r>
              <w:rPr>
                <w:rFonts w:hint="eastAsia" w:ascii="宋体" w:hAnsi="宋体" w:eastAsia="宋体" w:cs="宋体"/>
                <w:sz w:val="21"/>
                <w:szCs w:val="21"/>
                <w:vertAlign w:val="baseline"/>
                <w:lang w:val="en-US" w:eastAsia="zh-CN" w:bidi="zh-CN"/>
              </w:rPr>
              <w:t>不足</w:t>
            </w:r>
            <w:r>
              <w:rPr>
                <w:rFonts w:hint="eastAsia" w:ascii="宋体" w:hAnsi="宋体" w:eastAsia="宋体" w:cs="宋体"/>
                <w:sz w:val="21"/>
                <w:szCs w:val="21"/>
                <w:vertAlign w:val="baseline"/>
                <w:lang w:val="en-US" w:eastAsia="zh-CN" w:bidi="zh-CN"/>
              </w:rPr>
              <w:sym w:font="Wingdings 2" w:char="00A3"/>
            </w:r>
          </w:p>
        </w:tc>
        <w:tc>
          <w:tcPr>
            <w:tcW w:w="699" w:type="dxa"/>
          </w:tcPr>
          <w:p w14:paraId="5348A0BE">
            <w:pPr>
              <w:spacing w:line="240" w:lineRule="auto"/>
              <w:jc w:val="both"/>
              <w:rPr>
                <w:rFonts w:hint="eastAsia" w:ascii="宋体" w:hAnsi="宋体" w:eastAsia="宋体" w:cs="宋体"/>
                <w:sz w:val="21"/>
                <w:szCs w:val="21"/>
                <w:vertAlign w:val="baseline"/>
                <w:lang w:val="en-US" w:eastAsia="zh-CN"/>
              </w:rPr>
            </w:pPr>
          </w:p>
        </w:tc>
      </w:tr>
      <w:tr w14:paraId="2E442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04DAAC24">
            <w:pPr>
              <w:spacing w:line="48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岗位适应性</w:t>
            </w:r>
          </w:p>
        </w:tc>
        <w:tc>
          <w:tcPr>
            <w:tcW w:w="1655" w:type="dxa"/>
            <w:shd w:val="clear" w:color="auto" w:fill="auto"/>
            <w:vAlign w:val="center"/>
          </w:tcPr>
          <w:p w14:paraId="23307438">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rPr>
              <w:t>岗位匹配度</w:t>
            </w:r>
          </w:p>
        </w:tc>
        <w:tc>
          <w:tcPr>
            <w:tcW w:w="5494" w:type="dxa"/>
            <w:shd w:val="clear" w:color="auto" w:fill="auto"/>
            <w:vAlign w:val="center"/>
          </w:tcPr>
          <w:p w14:paraId="515B7186">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能胜任医院保安服务要求，适应医院工作环境</w:t>
            </w:r>
          </w:p>
          <w:p w14:paraId="59F584B4">
            <w:pPr>
              <w:spacing w:line="240" w:lineRule="auto"/>
              <w:ind w:left="0" w:leftChars="0" w:right="0" w:rightChars="0"/>
              <w:jc w:val="both"/>
              <w:rPr>
                <w:rFonts w:hint="eastAsia" w:ascii="宋体" w:hAnsi="宋体" w:eastAsia="宋体" w:cs="宋体"/>
                <w:sz w:val="21"/>
                <w:szCs w:val="21"/>
                <w:vertAlign w:val="baseline"/>
                <w:lang w:val="en-US" w:eastAsia="zh-CN"/>
              </w:rPr>
            </w:pPr>
          </w:p>
        </w:tc>
        <w:tc>
          <w:tcPr>
            <w:tcW w:w="1802" w:type="dxa"/>
            <w:shd w:val="clear" w:color="auto" w:fill="auto"/>
            <w:vAlign w:val="center"/>
          </w:tcPr>
          <w:p w14:paraId="61E05A44">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bidi="zh-CN"/>
              </w:rPr>
              <w:t>能</w:t>
            </w:r>
            <w:r>
              <w:rPr>
                <w:rFonts w:hint="eastAsia" w:ascii="宋体" w:hAnsi="宋体" w:eastAsia="宋体" w:cs="宋体"/>
                <w:sz w:val="21"/>
                <w:szCs w:val="21"/>
                <w:vertAlign w:val="baseline"/>
                <w:lang w:val="en-US" w:eastAsia="zh-CN" w:bidi="zh-CN"/>
              </w:rPr>
              <w:sym w:font="Wingdings 2" w:char="00A3"/>
            </w:r>
            <w:r>
              <w:rPr>
                <w:rFonts w:hint="eastAsia" w:ascii="宋体" w:hAnsi="宋体" w:eastAsia="宋体" w:cs="宋体"/>
                <w:sz w:val="21"/>
                <w:szCs w:val="21"/>
                <w:vertAlign w:val="baseline"/>
                <w:lang w:val="en-US" w:eastAsia="zh-CN" w:bidi="zh-CN"/>
              </w:rPr>
              <w:t>不能</w:t>
            </w:r>
            <w:r>
              <w:rPr>
                <w:rFonts w:hint="eastAsia" w:ascii="宋体" w:hAnsi="宋体" w:eastAsia="宋体" w:cs="宋体"/>
                <w:sz w:val="21"/>
                <w:szCs w:val="21"/>
                <w:vertAlign w:val="baseline"/>
                <w:lang w:val="en-US" w:eastAsia="zh-CN" w:bidi="zh-CN"/>
              </w:rPr>
              <w:sym w:font="Wingdings 2" w:char="00A3"/>
            </w:r>
          </w:p>
        </w:tc>
        <w:tc>
          <w:tcPr>
            <w:tcW w:w="699" w:type="dxa"/>
          </w:tcPr>
          <w:p w14:paraId="382CDC93">
            <w:pPr>
              <w:spacing w:line="240" w:lineRule="auto"/>
              <w:jc w:val="both"/>
              <w:rPr>
                <w:rFonts w:hint="eastAsia" w:ascii="宋体" w:hAnsi="宋体" w:eastAsia="宋体" w:cs="宋体"/>
                <w:sz w:val="21"/>
                <w:szCs w:val="21"/>
                <w:vertAlign w:val="baseline"/>
                <w:lang w:val="en-US" w:eastAsia="zh-CN"/>
              </w:rPr>
            </w:pPr>
          </w:p>
        </w:tc>
      </w:tr>
      <w:tr w14:paraId="2CEC2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17808179">
            <w:pPr>
              <w:spacing w:line="48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工作纪律</w:t>
            </w:r>
          </w:p>
        </w:tc>
        <w:tc>
          <w:tcPr>
            <w:tcW w:w="1655" w:type="dxa"/>
            <w:shd w:val="clear" w:color="auto" w:fill="auto"/>
            <w:vAlign w:val="center"/>
          </w:tcPr>
          <w:p w14:paraId="2C7DD7FE">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履行工作职责</w:t>
            </w:r>
          </w:p>
        </w:tc>
        <w:tc>
          <w:tcPr>
            <w:tcW w:w="5494" w:type="dxa"/>
            <w:shd w:val="clear" w:color="auto" w:fill="auto"/>
            <w:vAlign w:val="center"/>
          </w:tcPr>
          <w:p w14:paraId="00602160">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是否经常迟到、早退、旷工等</w:t>
            </w:r>
          </w:p>
          <w:p w14:paraId="3183F7FD">
            <w:pPr>
              <w:spacing w:line="240" w:lineRule="auto"/>
              <w:ind w:left="0" w:leftChars="0" w:right="0" w:rightChars="0"/>
              <w:jc w:val="both"/>
              <w:rPr>
                <w:rFonts w:hint="eastAsia" w:ascii="宋体" w:hAnsi="宋体" w:eastAsia="宋体" w:cs="宋体"/>
                <w:sz w:val="21"/>
                <w:szCs w:val="21"/>
                <w:vertAlign w:val="baseline"/>
                <w:lang w:val="en-US" w:eastAsia="zh-CN"/>
              </w:rPr>
            </w:pPr>
          </w:p>
        </w:tc>
        <w:tc>
          <w:tcPr>
            <w:tcW w:w="1802" w:type="dxa"/>
            <w:shd w:val="clear" w:color="auto" w:fill="auto"/>
            <w:vAlign w:val="center"/>
          </w:tcPr>
          <w:p w14:paraId="74ED8F2A">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bidi="zh-CN"/>
              </w:rPr>
              <w:t>是</w:t>
            </w:r>
            <w:r>
              <w:rPr>
                <w:rFonts w:hint="eastAsia" w:ascii="宋体" w:hAnsi="宋体" w:eastAsia="宋体" w:cs="宋体"/>
                <w:sz w:val="21"/>
                <w:szCs w:val="21"/>
                <w:vertAlign w:val="baseline"/>
                <w:lang w:val="en-US" w:eastAsia="zh-CN" w:bidi="zh-CN"/>
              </w:rPr>
              <w:sym w:font="Wingdings 2" w:char="00A3"/>
            </w:r>
            <w:r>
              <w:rPr>
                <w:rFonts w:hint="eastAsia" w:ascii="宋体" w:hAnsi="宋体" w:eastAsia="宋体" w:cs="宋体"/>
                <w:sz w:val="21"/>
                <w:szCs w:val="21"/>
                <w:vertAlign w:val="baseline"/>
                <w:lang w:val="en-US" w:eastAsia="zh-CN" w:bidi="zh-CN"/>
              </w:rPr>
              <w:t>不是</w:t>
            </w:r>
            <w:r>
              <w:rPr>
                <w:rFonts w:hint="eastAsia" w:ascii="宋体" w:hAnsi="宋体" w:eastAsia="宋体" w:cs="宋体"/>
                <w:sz w:val="21"/>
                <w:szCs w:val="21"/>
                <w:vertAlign w:val="baseline"/>
                <w:lang w:val="en-US" w:eastAsia="zh-CN" w:bidi="zh-CN"/>
              </w:rPr>
              <w:sym w:font="Wingdings 2" w:char="00A3"/>
            </w:r>
          </w:p>
        </w:tc>
        <w:tc>
          <w:tcPr>
            <w:tcW w:w="699" w:type="dxa"/>
          </w:tcPr>
          <w:p w14:paraId="38E9C801">
            <w:pPr>
              <w:spacing w:line="240" w:lineRule="auto"/>
              <w:jc w:val="both"/>
              <w:rPr>
                <w:rFonts w:hint="eastAsia" w:ascii="宋体" w:hAnsi="宋体" w:eastAsia="宋体" w:cs="宋体"/>
                <w:sz w:val="21"/>
                <w:szCs w:val="21"/>
                <w:vertAlign w:val="baseline"/>
                <w:lang w:val="en-US" w:eastAsia="zh-CN"/>
              </w:rPr>
            </w:pPr>
          </w:p>
        </w:tc>
      </w:tr>
      <w:tr w14:paraId="505DC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9" w:type="dxa"/>
          </w:tcPr>
          <w:p w14:paraId="1B5A7A38">
            <w:pPr>
              <w:spacing w:line="48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其   它</w:t>
            </w:r>
          </w:p>
        </w:tc>
        <w:tc>
          <w:tcPr>
            <w:tcW w:w="1655" w:type="dxa"/>
            <w:shd w:val="clear" w:color="auto" w:fill="auto"/>
            <w:vAlign w:val="center"/>
          </w:tcPr>
          <w:p w14:paraId="00752893">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背景询问</w:t>
            </w:r>
          </w:p>
        </w:tc>
        <w:tc>
          <w:tcPr>
            <w:tcW w:w="5494" w:type="dxa"/>
            <w:shd w:val="clear" w:color="auto" w:fill="auto"/>
            <w:vAlign w:val="center"/>
          </w:tcPr>
          <w:p w14:paraId="1E3B3A09">
            <w:pPr>
              <w:spacing w:line="240" w:lineRule="auto"/>
              <w:ind w:left="0" w:leftChars="0" w:right="0" w:rightChars="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品行端正，作风优良、业务精湛</w:t>
            </w:r>
          </w:p>
          <w:p w14:paraId="27000CF7">
            <w:pPr>
              <w:spacing w:line="240" w:lineRule="auto"/>
              <w:ind w:left="0" w:leftChars="0" w:right="0" w:rightChars="0"/>
              <w:jc w:val="both"/>
              <w:rPr>
                <w:rFonts w:hint="eastAsia" w:ascii="宋体" w:hAnsi="宋体" w:eastAsia="宋体" w:cs="宋体"/>
                <w:sz w:val="21"/>
                <w:szCs w:val="21"/>
                <w:vertAlign w:val="baseline"/>
                <w:lang w:val="en-US" w:eastAsia="zh-CN"/>
              </w:rPr>
            </w:pPr>
          </w:p>
        </w:tc>
        <w:tc>
          <w:tcPr>
            <w:tcW w:w="1802" w:type="dxa"/>
            <w:shd w:val="clear" w:color="auto" w:fill="auto"/>
            <w:vAlign w:val="center"/>
          </w:tcPr>
          <w:p w14:paraId="26CD0471">
            <w:pPr>
              <w:spacing w:line="240" w:lineRule="auto"/>
              <w:ind w:left="0" w:leftChars="0" w:right="0" w:rightChars="0"/>
              <w:jc w:val="both"/>
              <w:rPr>
                <w:rFonts w:hint="eastAsia" w:ascii="宋体" w:hAnsi="宋体" w:eastAsia="宋体" w:cs="宋体"/>
                <w:sz w:val="21"/>
                <w:szCs w:val="21"/>
                <w:vertAlign w:val="baseline"/>
                <w:lang w:val="en-US" w:eastAsia="zh-CN" w:bidi="zh-CN"/>
              </w:rPr>
            </w:pPr>
            <w:r>
              <w:rPr>
                <w:rFonts w:hint="eastAsia" w:ascii="宋体" w:hAnsi="宋体" w:eastAsia="宋体" w:cs="宋体"/>
                <w:sz w:val="21"/>
                <w:szCs w:val="21"/>
                <w:vertAlign w:val="baseline"/>
                <w:lang w:val="en-US" w:eastAsia="zh-CN" w:bidi="zh-CN"/>
              </w:rPr>
              <w:t>好</w:t>
            </w:r>
            <w:r>
              <w:rPr>
                <w:rFonts w:hint="eastAsia" w:ascii="宋体" w:hAnsi="宋体" w:eastAsia="宋体" w:cs="宋体"/>
                <w:sz w:val="21"/>
                <w:szCs w:val="21"/>
                <w:vertAlign w:val="baseline"/>
                <w:lang w:val="en-US" w:eastAsia="zh-CN" w:bidi="zh-CN"/>
              </w:rPr>
              <w:sym w:font="Wingdings 2" w:char="00A3"/>
            </w:r>
            <w:r>
              <w:rPr>
                <w:rFonts w:hint="eastAsia" w:ascii="宋体" w:hAnsi="宋体" w:eastAsia="宋体" w:cs="宋体"/>
                <w:sz w:val="21"/>
                <w:szCs w:val="21"/>
                <w:vertAlign w:val="baseline"/>
                <w:lang w:val="en-US" w:eastAsia="zh-CN" w:bidi="zh-CN"/>
              </w:rPr>
              <w:t>不好</w:t>
            </w:r>
            <w:r>
              <w:rPr>
                <w:rFonts w:hint="eastAsia" w:ascii="宋体" w:hAnsi="宋体" w:eastAsia="宋体" w:cs="宋体"/>
                <w:sz w:val="21"/>
                <w:szCs w:val="21"/>
                <w:vertAlign w:val="baseline"/>
                <w:lang w:val="en-US" w:eastAsia="zh-CN" w:bidi="zh-CN"/>
              </w:rPr>
              <w:sym w:font="Wingdings 2" w:char="00A3"/>
            </w:r>
          </w:p>
        </w:tc>
        <w:tc>
          <w:tcPr>
            <w:tcW w:w="699" w:type="dxa"/>
          </w:tcPr>
          <w:p w14:paraId="0CF25EE7">
            <w:pPr>
              <w:spacing w:line="240" w:lineRule="auto"/>
              <w:jc w:val="both"/>
              <w:rPr>
                <w:rFonts w:hint="eastAsia" w:ascii="宋体" w:hAnsi="宋体" w:eastAsia="宋体" w:cs="宋体"/>
                <w:sz w:val="21"/>
                <w:szCs w:val="21"/>
                <w:vertAlign w:val="baseline"/>
                <w:lang w:val="en-US" w:eastAsia="zh-CN"/>
              </w:rPr>
            </w:pPr>
          </w:p>
        </w:tc>
      </w:tr>
    </w:tbl>
    <w:p w14:paraId="567DE192">
      <w:pPr>
        <w:spacing w:line="24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评价说明：总共十项，、每项总分10分，每个评价根据实际情况打分，满分100分，评价结果分为优秀（90分以上）、合格（60-89分）、不合格（59分以下），对不合格的项目，详细记录原因，提出改进建议。</w:t>
      </w:r>
    </w:p>
    <w:p w14:paraId="65BF5DE1">
      <w:pPr>
        <w:ind w:firstLine="640" w:firstLineChars="200"/>
        <w:jc w:val="both"/>
        <w:rPr>
          <w:rFonts w:hint="eastAsia" w:ascii="宋体" w:hAnsi="宋体" w:eastAsia="宋体" w:cs="宋体"/>
          <w:sz w:val="32"/>
          <w:szCs w:val="32"/>
          <w:lang w:val="en-US" w:eastAsia="zh-CN"/>
        </w:rPr>
      </w:pPr>
    </w:p>
    <w:p w14:paraId="3A61CBC7">
      <w:pPr>
        <w:rPr>
          <w:rFonts w:hint="eastAsia" w:ascii="宋体" w:hAnsi="宋体" w:eastAsia="宋体" w:cs="宋体"/>
          <w:color w:val="auto"/>
          <w:sz w:val="32"/>
          <w:szCs w:val="32"/>
          <w:highlight w:val="none"/>
        </w:rPr>
      </w:pPr>
    </w:p>
    <w:p w14:paraId="5B3D798C">
      <w:pPr>
        <w:pStyle w:val="19"/>
        <w:rPr>
          <w:rFonts w:hint="eastAsia" w:ascii="宋体" w:hAnsi="宋体" w:eastAsia="宋体" w:cs="宋体"/>
        </w:rPr>
      </w:pPr>
    </w:p>
    <w:p w14:paraId="27FA6523">
      <w:pPr>
        <w:pStyle w:val="2"/>
        <w:keepNext/>
        <w:keepLines/>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bookmarkStart w:id="6" w:name="_Toc6918"/>
      <w:bookmarkStart w:id="7" w:name="_Toc26161"/>
      <w:r>
        <w:rPr>
          <w:rFonts w:hint="eastAsia" w:ascii="宋体" w:hAnsi="宋体" w:eastAsia="宋体" w:cs="宋体"/>
          <w:b/>
          <w:bCs/>
          <w:kern w:val="44"/>
          <w:sz w:val="32"/>
          <w:szCs w:val="32"/>
          <w:lang w:val="en-US" w:eastAsia="zh-CN" w:bidi="ar-SA"/>
        </w:rPr>
        <w:t>第三章</w:t>
      </w:r>
      <w:r>
        <w:rPr>
          <w:rFonts w:hint="eastAsia" w:ascii="宋体" w:hAnsi="宋体" w:eastAsia="宋体" w:cs="宋体"/>
          <w:sz w:val="32"/>
          <w:szCs w:val="32"/>
          <w:lang w:val="en-US" w:eastAsia="zh-CN"/>
        </w:rPr>
        <w:t xml:space="preserve">  响应文件格式</w:t>
      </w:r>
      <w:bookmarkEnd w:id="6"/>
      <w:bookmarkEnd w:id="7"/>
      <w:r>
        <w:rPr>
          <w:rFonts w:hint="eastAsia" w:ascii="宋体" w:hAnsi="宋体" w:eastAsia="宋体" w:cs="宋体"/>
          <w:sz w:val="32"/>
          <w:szCs w:val="32"/>
          <w:lang w:val="en-US" w:eastAsia="zh-CN"/>
        </w:rPr>
        <w:t xml:space="preserve">  </w:t>
      </w:r>
    </w:p>
    <w:p w14:paraId="42D61778">
      <w:pPr>
        <w:widowControl w:val="0"/>
        <w:numPr>
          <w:ilvl w:val="0"/>
          <w:numId w:val="0"/>
        </w:numPr>
        <w:jc w:val="both"/>
        <w:rPr>
          <w:rFonts w:hint="eastAsia" w:ascii="宋体" w:hAnsi="宋体" w:eastAsia="宋体" w:cs="宋体"/>
          <w:lang w:val="en-US" w:eastAsia="zh-CN"/>
        </w:rPr>
      </w:pPr>
    </w:p>
    <w:p w14:paraId="3B87A64F">
      <w:pPr>
        <w:rPr>
          <w:rFonts w:hint="eastAsia" w:ascii="宋体" w:hAnsi="宋体" w:eastAsia="宋体" w:cs="宋体"/>
          <w:color w:val="auto"/>
          <w:sz w:val="44"/>
          <w:szCs w:val="44"/>
        </w:rPr>
      </w:pPr>
    </w:p>
    <w:p w14:paraId="4E34D007">
      <w:pPr>
        <w:pStyle w:val="19"/>
        <w:rPr>
          <w:rFonts w:hint="eastAsia" w:ascii="宋体" w:hAnsi="宋体" w:eastAsia="宋体" w:cs="宋体"/>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146399EF">
      <w:pPr>
        <w:snapToGrid w:val="0"/>
        <w:spacing w:line="360" w:lineRule="auto"/>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项目名称：融水苗族自治县人民医院保安服务项目</w:t>
      </w: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rPr>
          <w:rFonts w:hint="eastAsia"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RYCG2025032</w:t>
      </w:r>
    </w:p>
    <w:p w14:paraId="10EC431D">
      <w:pPr>
        <w:snapToGrid w:val="0"/>
        <w:spacing w:line="360" w:lineRule="auto"/>
        <w:rPr>
          <w:rFonts w:hint="eastAsia" w:ascii="宋体" w:hAnsi="宋体" w:eastAsia="宋体" w:cs="宋体"/>
          <w:color w:val="auto"/>
          <w:sz w:val="32"/>
          <w:szCs w:val="32"/>
        </w:rPr>
      </w:pPr>
    </w:p>
    <w:p w14:paraId="65C2EE00">
      <w:pPr>
        <w:snapToGrid w:val="0"/>
        <w:spacing w:line="360" w:lineRule="auto"/>
        <w:rPr>
          <w:rFonts w:hint="eastAsia" w:ascii="宋体" w:hAnsi="宋体" w:eastAsia="宋体" w:cs="宋体"/>
          <w:color w:val="auto"/>
          <w:sz w:val="32"/>
          <w:szCs w:val="32"/>
        </w:rPr>
      </w:pPr>
    </w:p>
    <w:p w14:paraId="4D070940">
      <w:pPr>
        <w:snapToGrid w:val="0"/>
        <w:spacing w:line="360" w:lineRule="auto"/>
        <w:rPr>
          <w:rFonts w:hint="eastAsia" w:ascii="宋体" w:hAnsi="宋体" w:eastAsia="宋体" w:cs="宋体"/>
          <w:color w:val="auto"/>
          <w:sz w:val="32"/>
          <w:szCs w:val="32"/>
        </w:rPr>
      </w:pPr>
    </w:p>
    <w:p w14:paraId="0FAAD8F4">
      <w:pPr>
        <w:snapToGrid w:val="0"/>
        <w:spacing w:line="360" w:lineRule="auto"/>
        <w:rPr>
          <w:rFonts w:hint="eastAsia" w:ascii="宋体" w:hAnsi="宋体" w:eastAsia="宋体" w:cs="宋体"/>
          <w:color w:val="auto"/>
          <w:sz w:val="32"/>
          <w:szCs w:val="32"/>
        </w:rPr>
      </w:pPr>
    </w:p>
    <w:p w14:paraId="238AF75E">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0E12103C">
      <w:pPr>
        <w:snapToGrid w:val="0"/>
        <w:spacing w:line="360" w:lineRule="auto"/>
        <w:jc w:val="center"/>
        <w:rPr>
          <w:rFonts w:hint="eastAsia" w:ascii="宋体" w:hAnsi="宋体" w:eastAsia="宋体" w:cs="宋体"/>
          <w:color w:val="auto"/>
          <w:sz w:val="32"/>
          <w:szCs w:val="32"/>
        </w:rPr>
      </w:pPr>
    </w:p>
    <w:p w14:paraId="26060BC5">
      <w:pPr>
        <w:snapToGrid w:val="0"/>
        <w:spacing w:line="360" w:lineRule="auto"/>
        <w:jc w:val="center"/>
        <w:rPr>
          <w:rFonts w:hint="eastAsia" w:ascii="宋体" w:hAnsi="宋体" w:eastAsia="宋体" w:cs="宋体"/>
          <w:color w:val="auto"/>
          <w:sz w:val="32"/>
          <w:szCs w:val="32"/>
        </w:rPr>
      </w:pPr>
    </w:p>
    <w:p w14:paraId="7DA103CA">
      <w:pPr>
        <w:pStyle w:val="32"/>
        <w:rPr>
          <w:rFonts w:hint="eastAsia" w:ascii="宋体" w:hAnsi="宋体" w:eastAsia="宋体" w:cs="宋体"/>
          <w:lang w:val="en-US" w:eastAsia="zh-CN"/>
        </w:rPr>
        <w:sectPr>
          <w:pgSz w:w="11906" w:h="16838"/>
          <w:pgMar w:top="1440" w:right="1803" w:bottom="1440" w:left="1803"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8" w:name="_Toc4512"/>
      <w:r>
        <w:rPr>
          <w:rFonts w:hint="eastAsia" w:ascii="宋体" w:hAnsi="宋体" w:eastAsia="宋体" w:cs="宋体"/>
          <w:lang w:val="en-US" w:eastAsia="zh-CN"/>
        </w:rPr>
        <w:t>第一节  供应商基本情况表</w:t>
      </w:r>
      <w:bookmarkEnd w:id="8"/>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30E77E09">
      <w:pPr>
        <w:pStyle w:val="3"/>
        <w:bidi w:val="0"/>
        <w:jc w:val="center"/>
        <w:rPr>
          <w:rFonts w:hint="eastAsia" w:ascii="宋体" w:hAnsi="宋体" w:eastAsia="宋体" w:cs="宋体"/>
          <w:lang w:val="en-US" w:eastAsia="zh-CN"/>
        </w:rPr>
      </w:pPr>
      <w:bookmarkStart w:id="9" w:name="_Toc30548"/>
      <w:r>
        <w:rPr>
          <w:rFonts w:hint="eastAsia" w:ascii="宋体" w:hAnsi="宋体" w:eastAsia="宋体" w:cs="宋体"/>
          <w:lang w:val="en-US" w:eastAsia="zh-CN"/>
        </w:rPr>
        <w:t>第二节  供应商响应性承诺书</w:t>
      </w:r>
      <w:bookmarkEnd w:id="9"/>
    </w:p>
    <w:p w14:paraId="666A2A58">
      <w:pPr>
        <w:jc w:val="center"/>
        <w:rPr>
          <w:rFonts w:hint="eastAsia" w:ascii="宋体" w:hAnsi="宋体" w:eastAsia="宋体" w:cs="宋体"/>
          <w:b/>
          <w:color w:val="auto"/>
          <w:sz w:val="24"/>
        </w:rPr>
      </w:pPr>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10"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10"/>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51C8AE82">
      <w:pPr>
        <w:pStyle w:val="27"/>
        <w:spacing w:line="0" w:lineRule="atLeast"/>
        <w:ind w:firstLine="420"/>
        <w:rPr>
          <w:rFonts w:hint="eastAsia" w:ascii="宋体" w:hAnsi="宋体" w:eastAsia="宋体" w:cs="宋体"/>
          <w:color w:val="auto"/>
        </w:rPr>
      </w:pP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1F65967">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11" w:name="_Toc16064"/>
      <w:r>
        <w:rPr>
          <w:rFonts w:hint="eastAsia" w:ascii="宋体" w:hAnsi="宋体" w:eastAsia="宋体" w:cs="宋体"/>
          <w:sz w:val="32"/>
          <w:szCs w:val="32"/>
          <w:lang w:val="en-US" w:eastAsia="zh-CN"/>
        </w:rPr>
        <w:t>第四节  服务承诺书</w:t>
      </w:r>
      <w:bookmarkEnd w:id="11"/>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12" w:name="_Toc14922"/>
      <w:r>
        <w:rPr>
          <w:rFonts w:hint="eastAsia" w:ascii="宋体" w:hAnsi="宋体" w:eastAsia="宋体" w:cs="宋体"/>
          <w:sz w:val="32"/>
          <w:szCs w:val="32"/>
          <w:lang w:val="en-US" w:eastAsia="zh-CN"/>
        </w:rPr>
        <w:t>第五节  供应商参加本项目无围标串标行为的承诺函</w:t>
      </w:r>
      <w:bookmarkEnd w:id="12"/>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2EA657A9">
      <w:pPr>
        <w:rPr>
          <w:rFonts w:hint="eastAsia" w:ascii="宋体" w:hAnsi="宋体" w:eastAsia="宋体" w:cs="宋体"/>
        </w:rPr>
      </w:pPr>
    </w:p>
    <w:p w14:paraId="071F9B56">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13" w:name="_Toc6668"/>
      <w:r>
        <w:rPr>
          <w:rFonts w:hint="eastAsia" w:ascii="宋体" w:hAnsi="宋体" w:eastAsia="宋体" w:cs="宋体"/>
          <w:sz w:val="32"/>
          <w:szCs w:val="32"/>
          <w:lang w:val="en-US" w:eastAsia="zh-CN"/>
        </w:rPr>
        <w:t>第六节  类似成功案例业绩一览表</w:t>
      </w:r>
      <w:bookmarkEnd w:id="13"/>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175D3C9B">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14" w:name="_Toc14295"/>
      <w:r>
        <w:rPr>
          <w:rFonts w:hint="eastAsia" w:ascii="宋体" w:hAnsi="宋体" w:eastAsia="宋体" w:cs="宋体"/>
          <w:sz w:val="32"/>
          <w:szCs w:val="32"/>
          <w:lang w:val="en-US" w:eastAsia="zh-CN"/>
        </w:rPr>
        <w:t>第七节  售后服务方案</w:t>
      </w:r>
      <w:bookmarkEnd w:id="14"/>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437333B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bookmarkStart w:id="15" w:name="_Toc10739"/>
      <w:bookmarkStart w:id="16" w:name="_Toc19121"/>
      <w:r>
        <w:rPr>
          <w:rFonts w:hint="eastAsia" w:ascii="宋体" w:hAnsi="宋体" w:eastAsia="宋体" w:cs="宋体"/>
          <w:sz w:val="32"/>
          <w:szCs w:val="32"/>
          <w:lang w:val="en-US" w:eastAsia="zh-CN"/>
        </w:rPr>
        <w:t>第四章  评审办法及评审标准</w:t>
      </w:r>
      <w:bookmarkEnd w:id="15"/>
      <w:bookmarkEnd w:id="16"/>
    </w:p>
    <w:p w14:paraId="09F25179">
      <w:pPr>
        <w:pStyle w:val="14"/>
        <w:numPr>
          <w:ilvl w:val="0"/>
          <w:numId w:val="0"/>
        </w:numPr>
        <w:spacing w:after="120"/>
        <w:ind w:leftChars="0"/>
        <w:jc w:val="center"/>
        <w:rPr>
          <w:rFonts w:hint="eastAsia" w:ascii="宋体" w:hAnsi="宋体" w:eastAsia="宋体" w:cs="宋体"/>
          <w:b/>
          <w:bCs/>
          <w:sz w:val="44"/>
          <w:szCs w:val="44"/>
          <w:highlight w:val="none"/>
        </w:rPr>
      </w:pPr>
      <w:bookmarkStart w:id="17" w:name="_Toc24273"/>
      <w:r>
        <w:rPr>
          <w:rFonts w:hint="eastAsia" w:ascii="宋体" w:hAnsi="宋体" w:eastAsia="宋体" w:cs="宋体"/>
          <w:b/>
          <w:bCs/>
          <w:sz w:val="44"/>
          <w:szCs w:val="44"/>
          <w:highlight w:val="none"/>
          <w:lang w:val="en-US" w:eastAsia="zh-CN"/>
        </w:rPr>
        <w:t>融水苗族自治县人民医院保安服务项目竞争性磋商项目</w:t>
      </w:r>
      <w:r>
        <w:rPr>
          <w:rFonts w:hint="eastAsia" w:ascii="宋体" w:hAnsi="宋体" w:eastAsia="宋体" w:cs="宋体"/>
          <w:b/>
          <w:bCs/>
          <w:sz w:val="44"/>
          <w:szCs w:val="44"/>
          <w:highlight w:val="none"/>
        </w:rPr>
        <w:t>综合</w:t>
      </w:r>
      <w:bookmarkEnd w:id="17"/>
      <w:r>
        <w:rPr>
          <w:rFonts w:hint="eastAsia" w:ascii="宋体" w:hAnsi="宋体" w:eastAsia="宋体" w:cs="宋体"/>
          <w:b/>
          <w:bCs/>
          <w:sz w:val="44"/>
          <w:szCs w:val="44"/>
          <w:highlight w:val="none"/>
          <w:lang w:val="en-US" w:eastAsia="zh-CN"/>
        </w:rPr>
        <w:t>评分表</w:t>
      </w: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660"/>
        <w:gridCol w:w="4920"/>
        <w:gridCol w:w="1748"/>
        <w:gridCol w:w="902"/>
      </w:tblGrid>
      <w:tr w14:paraId="59BDF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0"/>
            <w:vAlign w:val="center"/>
          </w:tcPr>
          <w:p w14:paraId="61CB42BB">
            <w:pPr>
              <w:keepNext w:val="0"/>
              <w:keepLines w:val="0"/>
              <w:pageBreakBefore w:val="0"/>
              <w:kinsoku/>
              <w:wordWrap/>
              <w:overflowPunct/>
              <w:topLinePunct w:val="0"/>
              <w:autoSpaceDE/>
              <w:autoSpaceDN/>
              <w:bidi w:val="0"/>
              <w:adjustRightInd/>
              <w:snapToGrid/>
              <w:spacing w:line="336" w:lineRule="auto"/>
              <w:jc w:val="left"/>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供应商名称：</w:t>
            </w:r>
          </w:p>
        </w:tc>
      </w:tr>
      <w:tr w14:paraId="22CE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449EC4EA">
            <w:pPr>
              <w:keepNext w:val="0"/>
              <w:keepLines w:val="0"/>
              <w:pageBreakBefore w:val="0"/>
              <w:kinsoku/>
              <w:wordWrap/>
              <w:overflowPunct/>
              <w:topLinePunct w:val="0"/>
              <w:autoSpaceDE/>
              <w:autoSpaceDN/>
              <w:bidi w:val="0"/>
              <w:adjustRightInd/>
              <w:snapToGrid/>
              <w:spacing w:line="336" w:lineRule="auto"/>
              <w:jc w:val="center"/>
              <w:textAlignment w:val="auto"/>
              <w:rPr>
                <w:rFonts w:hint="eastAsia" w:ascii="宋体" w:hAnsi="宋体" w:eastAsia="宋体" w:cs="宋体"/>
                <w:b/>
                <w:bCs w:val="0"/>
                <w:sz w:val="24"/>
              </w:rPr>
            </w:pPr>
            <w:r>
              <w:rPr>
                <w:rFonts w:hint="eastAsia" w:ascii="宋体" w:hAnsi="宋体" w:eastAsia="宋体" w:cs="宋体"/>
                <w:b/>
                <w:bCs w:val="0"/>
                <w:sz w:val="24"/>
              </w:rPr>
              <w:t>序号</w:t>
            </w:r>
          </w:p>
        </w:tc>
        <w:tc>
          <w:tcPr>
            <w:tcW w:w="1660" w:type="dxa"/>
            <w:noWrap w:val="0"/>
            <w:vAlign w:val="center"/>
          </w:tcPr>
          <w:p w14:paraId="15DE90EA">
            <w:pPr>
              <w:keepNext w:val="0"/>
              <w:keepLines w:val="0"/>
              <w:pageBreakBefore w:val="0"/>
              <w:kinsoku/>
              <w:wordWrap/>
              <w:overflowPunct/>
              <w:topLinePunct w:val="0"/>
              <w:autoSpaceDE/>
              <w:autoSpaceDN/>
              <w:bidi w:val="0"/>
              <w:adjustRightInd/>
              <w:snapToGrid/>
              <w:spacing w:line="336" w:lineRule="auto"/>
              <w:jc w:val="center"/>
              <w:textAlignment w:val="auto"/>
              <w:rPr>
                <w:rFonts w:hint="eastAsia" w:ascii="宋体" w:hAnsi="宋体" w:eastAsia="宋体" w:cs="宋体"/>
                <w:b/>
                <w:bCs w:val="0"/>
                <w:sz w:val="24"/>
              </w:rPr>
            </w:pPr>
            <w:r>
              <w:rPr>
                <w:rFonts w:hint="eastAsia" w:ascii="宋体" w:hAnsi="宋体" w:eastAsia="宋体" w:cs="宋体"/>
                <w:b/>
                <w:bCs w:val="0"/>
                <w:sz w:val="24"/>
              </w:rPr>
              <w:t>评分项目</w:t>
            </w:r>
          </w:p>
        </w:tc>
        <w:tc>
          <w:tcPr>
            <w:tcW w:w="4920" w:type="dxa"/>
            <w:noWrap w:val="0"/>
            <w:vAlign w:val="center"/>
          </w:tcPr>
          <w:p w14:paraId="03585804">
            <w:pPr>
              <w:keepNext w:val="0"/>
              <w:keepLines w:val="0"/>
              <w:pageBreakBefore w:val="0"/>
              <w:kinsoku/>
              <w:wordWrap/>
              <w:overflowPunct/>
              <w:topLinePunct w:val="0"/>
              <w:autoSpaceDE/>
              <w:autoSpaceDN/>
              <w:bidi w:val="0"/>
              <w:adjustRightInd/>
              <w:snapToGrid/>
              <w:spacing w:line="336" w:lineRule="auto"/>
              <w:jc w:val="center"/>
              <w:textAlignment w:val="auto"/>
              <w:rPr>
                <w:rFonts w:hint="eastAsia" w:ascii="宋体" w:hAnsi="宋体" w:eastAsia="宋体" w:cs="宋体"/>
                <w:b/>
                <w:bCs w:val="0"/>
                <w:sz w:val="24"/>
              </w:rPr>
            </w:pPr>
            <w:r>
              <w:rPr>
                <w:rFonts w:hint="eastAsia" w:ascii="宋体" w:hAnsi="宋体" w:eastAsia="宋体" w:cs="宋体"/>
                <w:b/>
                <w:bCs w:val="0"/>
                <w:sz w:val="24"/>
              </w:rPr>
              <w:t>评分标准</w:t>
            </w:r>
          </w:p>
        </w:tc>
        <w:tc>
          <w:tcPr>
            <w:tcW w:w="1748" w:type="dxa"/>
            <w:noWrap w:val="0"/>
            <w:vAlign w:val="center"/>
          </w:tcPr>
          <w:p w14:paraId="25429B45">
            <w:pPr>
              <w:keepNext w:val="0"/>
              <w:keepLines w:val="0"/>
              <w:pageBreakBefore w:val="0"/>
              <w:kinsoku/>
              <w:wordWrap/>
              <w:overflowPunct/>
              <w:topLinePunct w:val="0"/>
              <w:autoSpaceDE/>
              <w:autoSpaceDN/>
              <w:bidi w:val="0"/>
              <w:adjustRightInd/>
              <w:snapToGrid/>
              <w:spacing w:line="336" w:lineRule="auto"/>
              <w:jc w:val="center"/>
              <w:textAlignment w:val="auto"/>
              <w:rPr>
                <w:rFonts w:hint="eastAsia" w:ascii="宋体" w:hAnsi="宋体" w:eastAsia="宋体" w:cs="宋体"/>
                <w:b/>
                <w:bCs w:val="0"/>
                <w:sz w:val="24"/>
              </w:rPr>
            </w:pPr>
            <w:r>
              <w:rPr>
                <w:rFonts w:hint="eastAsia" w:ascii="宋体" w:hAnsi="宋体" w:eastAsia="宋体" w:cs="宋体"/>
                <w:b/>
                <w:bCs w:val="0"/>
                <w:sz w:val="24"/>
              </w:rPr>
              <w:t>分值</w:t>
            </w:r>
          </w:p>
        </w:tc>
        <w:tc>
          <w:tcPr>
            <w:tcW w:w="902" w:type="dxa"/>
            <w:noWrap w:val="0"/>
            <w:vAlign w:val="center"/>
          </w:tcPr>
          <w:p w14:paraId="5A821D03">
            <w:pPr>
              <w:keepNext w:val="0"/>
              <w:keepLines w:val="0"/>
              <w:pageBreakBefore w:val="0"/>
              <w:kinsoku/>
              <w:wordWrap/>
              <w:overflowPunct/>
              <w:topLinePunct w:val="0"/>
              <w:autoSpaceDE/>
              <w:autoSpaceDN/>
              <w:bidi w:val="0"/>
              <w:adjustRightInd/>
              <w:snapToGrid/>
              <w:spacing w:line="336" w:lineRule="auto"/>
              <w:jc w:val="center"/>
              <w:textAlignment w:val="auto"/>
              <w:rPr>
                <w:rFonts w:hint="eastAsia" w:ascii="宋体" w:hAnsi="宋体" w:eastAsia="宋体" w:cs="宋体"/>
                <w:b/>
                <w:bCs w:val="0"/>
                <w:sz w:val="24"/>
                <w:lang w:val="en-US" w:eastAsia="zh-CN"/>
              </w:rPr>
            </w:pPr>
            <w:r>
              <w:rPr>
                <w:rFonts w:hint="eastAsia" w:ascii="宋体" w:hAnsi="宋体" w:eastAsia="宋体" w:cs="宋体"/>
                <w:b/>
                <w:bCs w:val="0"/>
                <w:sz w:val="24"/>
                <w:lang w:val="en-US" w:eastAsia="zh-CN"/>
              </w:rPr>
              <w:t>分数</w:t>
            </w:r>
          </w:p>
        </w:tc>
      </w:tr>
      <w:tr w14:paraId="6137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73B2451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r>
              <w:rPr>
                <w:rFonts w:hint="eastAsia" w:ascii="宋体" w:hAnsi="宋体" w:eastAsia="宋体" w:cs="宋体"/>
                <w:bCs/>
                <w:sz w:val="24"/>
              </w:rPr>
              <w:t>1</w:t>
            </w:r>
          </w:p>
        </w:tc>
        <w:tc>
          <w:tcPr>
            <w:tcW w:w="1660" w:type="dxa"/>
            <w:noWrap w:val="0"/>
            <w:vAlign w:val="center"/>
          </w:tcPr>
          <w:p w14:paraId="2CCDC083">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kern w:val="0"/>
                <w:sz w:val="24"/>
              </w:rPr>
            </w:pPr>
            <w:r>
              <w:rPr>
                <w:rFonts w:hint="eastAsia" w:ascii="宋体" w:hAnsi="宋体" w:eastAsia="宋体" w:cs="宋体"/>
                <w:bCs/>
                <w:color w:val="auto"/>
                <w:kern w:val="0"/>
                <w:sz w:val="24"/>
              </w:rPr>
              <w:t>报价评分</w:t>
            </w:r>
          </w:p>
          <w:p w14:paraId="5C96E85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sz w:val="24"/>
              </w:rPr>
            </w:pPr>
            <w:r>
              <w:rPr>
                <w:rFonts w:hint="eastAsia" w:ascii="宋体" w:hAnsi="宋体" w:eastAsia="宋体" w:cs="宋体"/>
                <w:bCs/>
                <w:color w:val="auto"/>
                <w:kern w:val="0"/>
                <w:sz w:val="24"/>
                <w:lang w:val="en-US" w:eastAsia="zh-CN"/>
              </w:rPr>
              <w:t>（满分30分）</w:t>
            </w:r>
          </w:p>
        </w:tc>
        <w:tc>
          <w:tcPr>
            <w:tcW w:w="4920" w:type="dxa"/>
            <w:noWrap w:val="0"/>
            <w:vAlign w:val="center"/>
          </w:tcPr>
          <w:p w14:paraId="284C3DF2">
            <w:pPr>
              <w:pStyle w:val="27"/>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color w:val="auto"/>
                <w:sz w:val="24"/>
              </w:rPr>
            </w:pPr>
            <w:r>
              <w:rPr>
                <w:rFonts w:hint="eastAsia" w:ascii="宋体" w:hAnsi="宋体" w:eastAsia="宋体" w:cs="宋体"/>
                <w:i w:val="0"/>
                <w:iCs w:val="0"/>
                <w:caps w:val="0"/>
                <w:color w:val="auto"/>
                <w:spacing w:val="0"/>
                <w:kern w:val="2"/>
                <w:sz w:val="24"/>
                <w:szCs w:val="24"/>
                <w:lang w:val="en-US" w:eastAsia="zh-CN" w:bidi="ar-SA"/>
              </w:rPr>
              <w:t>1、报价≤采购预算价（39,500.00元）且无漏项</w:t>
            </w:r>
            <w:r>
              <w:rPr>
                <w:rFonts w:hint="eastAsia" w:ascii="宋体" w:hAnsi="宋体" w:eastAsia="宋体" w:cs="宋体"/>
                <w:i w:val="0"/>
                <w:iCs w:val="0"/>
                <w:caps w:val="0"/>
                <w:color w:val="auto"/>
                <w:spacing w:val="0"/>
                <w:kern w:val="2"/>
                <w:sz w:val="24"/>
                <w:szCs w:val="24"/>
                <w:lang w:val="en-US" w:eastAsia="zh-CN" w:bidi="ar-SA"/>
              </w:rPr>
              <w:br w:type="textWrapping"/>
            </w:r>
            <w:r>
              <w:rPr>
                <w:rFonts w:hint="eastAsia" w:ascii="宋体" w:hAnsi="宋体" w:eastAsia="宋体" w:cs="宋体"/>
                <w:i w:val="0"/>
                <w:iCs w:val="0"/>
                <w:caps w:val="0"/>
                <w:color w:val="auto"/>
                <w:spacing w:val="0"/>
                <w:kern w:val="2"/>
                <w:sz w:val="24"/>
                <w:szCs w:val="24"/>
                <w:lang w:val="en-US" w:eastAsia="zh-CN" w:bidi="ar-SA"/>
              </w:rPr>
              <w:t>2、计算公式：得分=（最低有效报价/供应商投标报价）×30分</w:t>
            </w:r>
          </w:p>
        </w:tc>
        <w:tc>
          <w:tcPr>
            <w:tcW w:w="1748" w:type="dxa"/>
            <w:noWrap w:val="0"/>
            <w:vAlign w:val="center"/>
          </w:tcPr>
          <w:p w14:paraId="0CB8D4C2">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r>
              <w:rPr>
                <w:rFonts w:hint="eastAsia" w:ascii="宋体" w:hAnsi="宋体" w:eastAsia="宋体" w:cs="宋体"/>
                <w:bCs/>
                <w:sz w:val="24"/>
              </w:rPr>
              <w:t>0-</w:t>
            </w:r>
            <w:r>
              <w:rPr>
                <w:rFonts w:hint="eastAsia" w:ascii="宋体" w:hAnsi="宋体" w:eastAsia="宋体" w:cs="宋体"/>
                <w:bCs/>
                <w:sz w:val="24"/>
                <w:lang w:val="en-US" w:eastAsia="zh-CN"/>
              </w:rPr>
              <w:t>3</w:t>
            </w:r>
            <w:r>
              <w:rPr>
                <w:rFonts w:hint="eastAsia" w:ascii="宋体" w:hAnsi="宋体" w:eastAsia="宋体" w:cs="宋体"/>
                <w:bCs/>
                <w:sz w:val="24"/>
              </w:rPr>
              <w:t>0分</w:t>
            </w:r>
          </w:p>
          <w:p w14:paraId="40E1938F">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r>
              <w:rPr>
                <w:rFonts w:hint="eastAsia" w:ascii="宋体" w:hAnsi="宋体" w:eastAsia="宋体" w:cs="宋体"/>
                <w:bCs/>
                <w:sz w:val="24"/>
              </w:rPr>
              <w:t>（满分</w:t>
            </w:r>
            <w:r>
              <w:rPr>
                <w:rFonts w:hint="eastAsia" w:ascii="宋体" w:hAnsi="宋体" w:eastAsia="宋体" w:cs="宋体"/>
                <w:bCs/>
                <w:sz w:val="24"/>
                <w:lang w:val="en-US" w:eastAsia="zh-CN"/>
              </w:rPr>
              <w:t>3</w:t>
            </w:r>
            <w:r>
              <w:rPr>
                <w:rFonts w:hint="eastAsia" w:ascii="宋体" w:hAnsi="宋体" w:eastAsia="宋体" w:cs="宋体"/>
                <w:bCs/>
                <w:sz w:val="24"/>
              </w:rPr>
              <w:t>0分）</w:t>
            </w:r>
          </w:p>
        </w:tc>
        <w:tc>
          <w:tcPr>
            <w:tcW w:w="902" w:type="dxa"/>
            <w:noWrap w:val="0"/>
            <w:vAlign w:val="center"/>
          </w:tcPr>
          <w:p w14:paraId="03E9C5AD">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p>
        </w:tc>
      </w:tr>
      <w:tr w14:paraId="1D5B5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4" w:hRule="atLeast"/>
        </w:trPr>
        <w:tc>
          <w:tcPr>
            <w:tcW w:w="690" w:type="dxa"/>
            <w:noWrap w:val="0"/>
            <w:vAlign w:val="center"/>
          </w:tcPr>
          <w:p w14:paraId="43A03BA3">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r>
              <w:rPr>
                <w:rFonts w:hint="eastAsia" w:ascii="宋体" w:hAnsi="宋体" w:eastAsia="宋体" w:cs="宋体"/>
                <w:bCs/>
                <w:kern w:val="0"/>
                <w:sz w:val="24"/>
              </w:rPr>
              <w:t>2</w:t>
            </w:r>
          </w:p>
        </w:tc>
        <w:tc>
          <w:tcPr>
            <w:tcW w:w="1660" w:type="dxa"/>
            <w:noWrap w:val="0"/>
            <w:vAlign w:val="center"/>
          </w:tcPr>
          <w:p w14:paraId="3CA9F454">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kern w:val="0"/>
                <w:sz w:val="24"/>
              </w:rPr>
            </w:pPr>
            <w:r>
              <w:rPr>
                <w:rFonts w:hint="eastAsia" w:ascii="宋体" w:hAnsi="宋体" w:eastAsia="宋体" w:cs="宋体"/>
                <w:bCs/>
                <w:kern w:val="0"/>
                <w:sz w:val="24"/>
              </w:rPr>
              <w:t>技术分</w:t>
            </w:r>
          </w:p>
          <w:p w14:paraId="467B5CAF">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r>
              <w:rPr>
                <w:rFonts w:hint="eastAsia" w:ascii="宋体" w:hAnsi="宋体" w:eastAsia="宋体" w:cs="宋体"/>
                <w:bCs/>
                <w:spacing w:val="0"/>
                <w:kern w:val="0"/>
                <w:sz w:val="24"/>
                <w:szCs w:val="24"/>
                <w:lang w:val="en-US" w:eastAsia="zh-CN" w:bidi="ar-SA"/>
              </w:rPr>
              <w:t>（满分67分）</w:t>
            </w:r>
          </w:p>
        </w:tc>
        <w:tc>
          <w:tcPr>
            <w:tcW w:w="4920" w:type="dxa"/>
            <w:noWrap w:val="0"/>
            <w:vAlign w:val="center"/>
          </w:tcPr>
          <w:p w14:paraId="56C14714">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r>
              <w:rPr>
                <w:rFonts w:hint="eastAsia" w:ascii="宋体" w:hAnsi="宋体" w:eastAsia="宋体" w:cs="宋体"/>
                <w:bCs/>
                <w:kern w:val="0"/>
                <w:sz w:val="24"/>
              </w:rPr>
              <w:t>评审因素</w:t>
            </w:r>
          </w:p>
        </w:tc>
        <w:tc>
          <w:tcPr>
            <w:tcW w:w="1748" w:type="dxa"/>
            <w:noWrap w:val="0"/>
            <w:vAlign w:val="center"/>
          </w:tcPr>
          <w:p w14:paraId="6010B98D">
            <w:pPr>
              <w:keepNext w:val="0"/>
              <w:keepLines w:val="0"/>
              <w:pageBreakBefore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r>
              <w:rPr>
                <w:rFonts w:hint="eastAsia" w:ascii="宋体" w:hAnsi="宋体" w:eastAsia="宋体" w:cs="宋体"/>
                <w:bCs/>
                <w:sz w:val="24"/>
              </w:rPr>
              <w:t>技术分</w:t>
            </w:r>
          </w:p>
          <w:p w14:paraId="2B297F87">
            <w:pPr>
              <w:keepNext w:val="0"/>
              <w:keepLines w:val="0"/>
              <w:pageBreakBefore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r>
              <w:rPr>
                <w:rFonts w:hint="eastAsia" w:ascii="宋体" w:hAnsi="宋体" w:eastAsia="宋体" w:cs="宋体"/>
                <w:bCs/>
                <w:sz w:val="24"/>
              </w:rPr>
              <w:t>（满分</w:t>
            </w:r>
            <w:r>
              <w:rPr>
                <w:rFonts w:hint="eastAsia" w:ascii="宋体" w:hAnsi="宋体" w:eastAsia="宋体" w:cs="宋体"/>
                <w:bCs/>
                <w:sz w:val="24"/>
                <w:lang w:val="en-US" w:eastAsia="zh-CN"/>
              </w:rPr>
              <w:t>67</w:t>
            </w:r>
            <w:r>
              <w:rPr>
                <w:rFonts w:hint="eastAsia" w:ascii="宋体" w:hAnsi="宋体" w:eastAsia="宋体" w:cs="宋体"/>
                <w:bCs/>
                <w:sz w:val="24"/>
              </w:rPr>
              <w:t>分）</w:t>
            </w:r>
          </w:p>
        </w:tc>
        <w:tc>
          <w:tcPr>
            <w:tcW w:w="902" w:type="dxa"/>
            <w:noWrap w:val="0"/>
            <w:vAlign w:val="center"/>
          </w:tcPr>
          <w:p w14:paraId="7E723084">
            <w:pPr>
              <w:keepNext w:val="0"/>
              <w:keepLines w:val="0"/>
              <w:pageBreakBefore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p>
        </w:tc>
      </w:tr>
      <w:tr w14:paraId="7D70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9" w:hRule="atLeast"/>
        </w:trPr>
        <w:tc>
          <w:tcPr>
            <w:tcW w:w="690" w:type="dxa"/>
            <w:noWrap w:val="0"/>
            <w:vAlign w:val="center"/>
          </w:tcPr>
          <w:p w14:paraId="2DF04B00">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r>
              <w:rPr>
                <w:rFonts w:hint="eastAsia" w:ascii="宋体" w:hAnsi="宋体" w:eastAsia="宋体" w:cs="宋体"/>
                <w:bCs/>
                <w:sz w:val="24"/>
              </w:rPr>
              <w:t>2.1</w:t>
            </w:r>
          </w:p>
        </w:tc>
        <w:tc>
          <w:tcPr>
            <w:tcW w:w="1660" w:type="dxa"/>
            <w:noWrap w:val="0"/>
            <w:vAlign w:val="center"/>
          </w:tcPr>
          <w:p w14:paraId="6B2B00BB">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kern w:val="0"/>
                <w:sz w:val="24"/>
                <w:lang w:val="en-US" w:eastAsia="zh-CN"/>
              </w:rPr>
            </w:pPr>
            <w:r>
              <w:rPr>
                <w:rFonts w:hint="eastAsia" w:ascii="宋体" w:hAnsi="宋体" w:eastAsia="宋体" w:cs="宋体"/>
                <w:bCs/>
                <w:color w:val="auto"/>
                <w:kern w:val="0"/>
                <w:sz w:val="24"/>
                <w:lang w:val="en-US" w:eastAsia="zh-CN"/>
              </w:rPr>
              <w:t>服务方案</w:t>
            </w:r>
            <w:r>
              <w:rPr>
                <w:rFonts w:hint="eastAsia" w:ascii="宋体" w:hAnsi="宋体" w:eastAsia="宋体" w:cs="宋体"/>
                <w:bCs/>
                <w:color w:val="auto"/>
                <w:spacing w:val="0"/>
                <w:kern w:val="0"/>
                <w:sz w:val="24"/>
                <w:szCs w:val="24"/>
                <w:lang w:val="en-US" w:eastAsia="zh-CN" w:bidi="ar-SA"/>
              </w:rPr>
              <w:t>（满分16分）</w:t>
            </w:r>
          </w:p>
          <w:p w14:paraId="2E78A7C1">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sz w:val="24"/>
              </w:rPr>
            </w:pPr>
          </w:p>
        </w:tc>
        <w:tc>
          <w:tcPr>
            <w:tcW w:w="4920" w:type="dxa"/>
            <w:noWrap w:val="0"/>
            <w:vAlign w:val="top"/>
          </w:tcPr>
          <w:p w14:paraId="5F89D496">
            <w:pPr>
              <w:keepNext w:val="0"/>
              <w:keepLines w:val="0"/>
              <w:pageBreakBefore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由评委根据各供应商提供的服务方案确定各供应商所属档次及分值。</w:t>
            </w:r>
          </w:p>
          <w:p w14:paraId="166B134C">
            <w:pPr>
              <w:keepNext w:val="0"/>
              <w:keepLines w:val="0"/>
              <w:pageBreakBefore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一档（0分）：未提供服务方案或提供的方案过于简单；</w:t>
            </w:r>
          </w:p>
          <w:p w14:paraId="76C02CD9">
            <w:pPr>
              <w:keepNext w:val="0"/>
              <w:keepLines w:val="0"/>
              <w:pageBreakBefore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 xml:space="preserve">二档（4分）：各工作流程基本明确，服务方案基本满足采购需求； </w:t>
            </w:r>
          </w:p>
          <w:p w14:paraId="45D73850">
            <w:pPr>
              <w:keepNext w:val="0"/>
              <w:keepLines w:val="0"/>
              <w:pageBreakBefore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三档（8分）：各工作流程、服务方案内容完整，对服务措施、质量保证措施等有较具体的描述，满足采购需求；</w:t>
            </w:r>
          </w:p>
          <w:p w14:paraId="3F4EBFA5">
            <w:pPr>
              <w:keepNext w:val="0"/>
              <w:keepLines w:val="0"/>
              <w:pageBreakBefore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 xml:space="preserve">四档（12分）：各工作流程完整可行，服务方案中的服务保障措施、服务质量承诺等描述具体、全面，承诺的内容可行且符合项目实际，有安保培训计划； </w:t>
            </w:r>
          </w:p>
          <w:p w14:paraId="1056885F">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bCs/>
                <w:color w:val="auto"/>
                <w:sz w:val="24"/>
              </w:rPr>
            </w:pPr>
            <w:r>
              <w:rPr>
                <w:rFonts w:hint="eastAsia" w:ascii="宋体" w:hAnsi="宋体" w:eastAsia="宋体" w:cs="宋体"/>
                <w:i w:val="0"/>
                <w:iCs w:val="0"/>
                <w:caps w:val="0"/>
                <w:color w:val="auto"/>
                <w:spacing w:val="0"/>
                <w:kern w:val="2"/>
                <w:sz w:val="24"/>
                <w:szCs w:val="24"/>
                <w:lang w:val="en-US" w:eastAsia="zh-CN" w:bidi="ar-SA"/>
              </w:rPr>
              <w:t>五档（16分）：各工作流程科学合理，服务方案契合项目实际，落实服务措施、服务质量保证措施详细全面、有针对性，针对本项目的服务人员制定有完善的处罚、激励条例，安保培训制度化，针对节假日、医院重大活动等制定有完善的专项服务方案。</w:t>
            </w:r>
          </w:p>
        </w:tc>
        <w:tc>
          <w:tcPr>
            <w:tcW w:w="1748" w:type="dxa"/>
            <w:noWrap w:val="0"/>
            <w:vAlign w:val="center"/>
          </w:tcPr>
          <w:p w14:paraId="5CDB96D8">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0-</w:t>
            </w:r>
            <w:r>
              <w:rPr>
                <w:rFonts w:hint="eastAsia" w:ascii="宋体" w:hAnsi="宋体" w:eastAsia="宋体" w:cs="宋体"/>
                <w:bCs/>
                <w:color w:val="auto"/>
                <w:sz w:val="24"/>
                <w:lang w:val="en-US" w:eastAsia="zh-CN"/>
              </w:rPr>
              <w:t>16</w:t>
            </w:r>
            <w:r>
              <w:rPr>
                <w:rFonts w:hint="eastAsia" w:ascii="宋体" w:hAnsi="宋体" w:eastAsia="宋体" w:cs="宋体"/>
                <w:bCs/>
                <w:color w:val="auto"/>
                <w:sz w:val="24"/>
              </w:rPr>
              <w:t>分</w:t>
            </w:r>
          </w:p>
        </w:tc>
        <w:tc>
          <w:tcPr>
            <w:tcW w:w="902" w:type="dxa"/>
            <w:noWrap w:val="0"/>
            <w:vAlign w:val="center"/>
          </w:tcPr>
          <w:p w14:paraId="01D81006">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p>
        </w:tc>
      </w:tr>
      <w:tr w14:paraId="5EB5E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7" w:hRule="atLeast"/>
        </w:trPr>
        <w:tc>
          <w:tcPr>
            <w:tcW w:w="690" w:type="dxa"/>
            <w:noWrap w:val="0"/>
            <w:vAlign w:val="center"/>
          </w:tcPr>
          <w:p w14:paraId="1922732D">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2.2</w:t>
            </w:r>
          </w:p>
        </w:tc>
        <w:tc>
          <w:tcPr>
            <w:tcW w:w="1660" w:type="dxa"/>
            <w:noWrap w:val="0"/>
            <w:vAlign w:val="center"/>
          </w:tcPr>
          <w:p w14:paraId="7616A635">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kern w:val="0"/>
                <w:sz w:val="24"/>
                <w:lang w:val="en-US" w:eastAsia="zh-CN"/>
              </w:rPr>
            </w:pPr>
            <w:r>
              <w:rPr>
                <w:rFonts w:hint="eastAsia" w:ascii="宋体" w:hAnsi="宋体" w:eastAsia="宋体" w:cs="宋体"/>
                <w:bCs/>
                <w:color w:val="auto"/>
                <w:kern w:val="0"/>
                <w:sz w:val="24"/>
                <w:lang w:val="en-US" w:eastAsia="zh-CN"/>
              </w:rPr>
              <w:t>针对本项目的管理制度</w:t>
            </w:r>
            <w:r>
              <w:rPr>
                <w:rFonts w:hint="eastAsia" w:ascii="宋体" w:hAnsi="宋体" w:eastAsia="宋体" w:cs="宋体"/>
                <w:bCs/>
                <w:color w:val="auto"/>
                <w:spacing w:val="0"/>
                <w:kern w:val="0"/>
                <w:sz w:val="24"/>
                <w:szCs w:val="24"/>
                <w:lang w:val="en-US" w:eastAsia="zh-CN" w:bidi="ar-SA"/>
              </w:rPr>
              <w:t>（满分12分）</w:t>
            </w:r>
          </w:p>
          <w:p w14:paraId="4E784779">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sz w:val="24"/>
                <w:lang w:val="en-US" w:eastAsia="zh-CN"/>
              </w:rPr>
            </w:pPr>
          </w:p>
        </w:tc>
        <w:tc>
          <w:tcPr>
            <w:tcW w:w="4920" w:type="dxa"/>
            <w:noWrap w:val="0"/>
            <w:vAlign w:val="top"/>
          </w:tcPr>
          <w:p w14:paraId="5814532A">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由评委根据各供应商提供的管理制度确定各供应商所属档次及分值。</w:t>
            </w:r>
          </w:p>
          <w:p w14:paraId="1DA54EBA">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一档（0分）：未提供针对本项目的管理制度；</w:t>
            </w:r>
          </w:p>
          <w:p w14:paraId="10AB5075">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二档（3分）：仅提供日常运作管理制度，制度内容简单、缺乏针对性；</w:t>
            </w:r>
          </w:p>
          <w:p w14:paraId="6268EB20">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三档（6分）：管理制度相对完善（包含日常运作管理制度，管理人员、服务人员考核、奖惩及培训制度等），可操作性一般；</w:t>
            </w:r>
          </w:p>
          <w:p w14:paraId="0DE75E11">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 xml:space="preserve">四档（9分）：有较完善管理制度（包含日常运作管理制度，人员管理制度，保密制度，投诉处理办法等），均具备一定的可操作性，提供相应管理、考核等表单。 </w:t>
            </w:r>
          </w:p>
          <w:p w14:paraId="7E3325FE">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color w:val="auto"/>
                <w:kern w:val="2"/>
                <w:sz w:val="24"/>
                <w:szCs w:val="21"/>
                <w:lang w:val="en-US" w:eastAsia="zh-CN" w:bidi="ar-SA"/>
              </w:rPr>
            </w:pPr>
            <w:r>
              <w:rPr>
                <w:rFonts w:hint="eastAsia" w:ascii="宋体" w:hAnsi="宋体" w:eastAsia="宋体" w:cs="宋体"/>
                <w:i w:val="0"/>
                <w:iCs w:val="0"/>
                <w:caps w:val="0"/>
                <w:color w:val="auto"/>
                <w:spacing w:val="0"/>
                <w:kern w:val="2"/>
                <w:sz w:val="24"/>
                <w:szCs w:val="24"/>
                <w:lang w:val="en-US" w:eastAsia="zh-CN" w:bidi="ar-SA"/>
              </w:rPr>
              <w:t>五档（12分）：有完善健全的管理制度（包含岗位责任制度，日常运作管理制度，人员管理制度，保密制度，投诉处理办法等），均有较强的可操作性，提供相应管理、考核等表单且表单内容完善、有针对性。</w:t>
            </w:r>
          </w:p>
        </w:tc>
        <w:tc>
          <w:tcPr>
            <w:tcW w:w="1748" w:type="dxa"/>
            <w:noWrap w:val="0"/>
            <w:vAlign w:val="center"/>
          </w:tcPr>
          <w:p w14:paraId="6A7B29B4">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0-12分</w:t>
            </w:r>
          </w:p>
        </w:tc>
        <w:tc>
          <w:tcPr>
            <w:tcW w:w="902" w:type="dxa"/>
            <w:noWrap w:val="0"/>
            <w:vAlign w:val="center"/>
          </w:tcPr>
          <w:p w14:paraId="3AB5BBDF">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p>
        </w:tc>
      </w:tr>
      <w:tr w14:paraId="48BBAA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56CE5590">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lang w:eastAsia="zh-CN"/>
              </w:rPr>
            </w:pPr>
            <w:r>
              <w:rPr>
                <w:rFonts w:hint="eastAsia" w:ascii="宋体" w:hAnsi="宋体" w:eastAsia="宋体" w:cs="宋体"/>
                <w:bCs/>
                <w:sz w:val="24"/>
              </w:rPr>
              <w:t>2.</w:t>
            </w:r>
            <w:r>
              <w:rPr>
                <w:rFonts w:hint="eastAsia" w:ascii="宋体" w:hAnsi="宋体" w:eastAsia="宋体" w:cs="宋体"/>
                <w:bCs/>
                <w:sz w:val="24"/>
                <w:lang w:val="en-US" w:eastAsia="zh-CN"/>
              </w:rPr>
              <w:t>3</w:t>
            </w:r>
          </w:p>
        </w:tc>
        <w:tc>
          <w:tcPr>
            <w:tcW w:w="1660" w:type="dxa"/>
            <w:noWrap w:val="0"/>
            <w:vAlign w:val="center"/>
          </w:tcPr>
          <w:p w14:paraId="2F13DBC1">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kern w:val="0"/>
                <w:sz w:val="24"/>
                <w:lang w:val="en-US" w:eastAsia="zh-CN"/>
              </w:rPr>
            </w:pPr>
            <w:r>
              <w:rPr>
                <w:rFonts w:hint="eastAsia" w:ascii="宋体" w:hAnsi="宋体" w:eastAsia="宋体" w:cs="宋体"/>
                <w:bCs/>
                <w:color w:val="auto"/>
                <w:kern w:val="0"/>
                <w:sz w:val="24"/>
                <w:lang w:val="en-US" w:eastAsia="zh-CN"/>
              </w:rPr>
              <w:t>应急处理方案</w:t>
            </w:r>
            <w:r>
              <w:rPr>
                <w:rFonts w:hint="eastAsia" w:ascii="宋体" w:hAnsi="宋体" w:eastAsia="宋体" w:cs="宋体"/>
                <w:bCs/>
                <w:color w:val="auto"/>
                <w:spacing w:val="0"/>
                <w:kern w:val="0"/>
                <w:sz w:val="24"/>
                <w:szCs w:val="24"/>
                <w:lang w:val="en-US" w:eastAsia="zh-CN" w:bidi="ar-SA"/>
              </w:rPr>
              <w:t>（满分12分）</w:t>
            </w:r>
          </w:p>
          <w:p w14:paraId="7BC3DED1">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sz w:val="24"/>
              </w:rPr>
            </w:pPr>
          </w:p>
        </w:tc>
        <w:tc>
          <w:tcPr>
            <w:tcW w:w="4920" w:type="dxa"/>
            <w:noWrap w:val="0"/>
            <w:vAlign w:val="center"/>
          </w:tcPr>
          <w:p w14:paraId="67EC189E">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由评委根据各供应商提供的应急处理方案确定各供应商所属档次及分值。</w:t>
            </w:r>
          </w:p>
          <w:p w14:paraId="1CA6F5E7">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一档（0分）：未提供或未针对本项目的服务内容编制应急处理方案；</w:t>
            </w:r>
          </w:p>
          <w:p w14:paraId="139FC64B">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二档（4分）：有针对本项目的服务场所内发生的火灾、群体性突发安全事件、偷盗等应急事件的处理方案，但内容简单，缺乏针对性；</w:t>
            </w:r>
          </w:p>
          <w:p w14:paraId="77633FE2">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三档（8分）：针对本项目的服务场所内可能发生的医闹、火灾、群体性突发安全事件、偷盗抢劫、紧急安全疏散等制定切实可行的应急处置方案，与采购人的实际情况较为相符；</w:t>
            </w:r>
          </w:p>
          <w:p w14:paraId="187A3D93">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aps w:val="0"/>
                <w:color w:val="auto"/>
                <w:spacing w:val="0"/>
                <w:kern w:val="2"/>
                <w:sz w:val="24"/>
                <w:szCs w:val="24"/>
                <w:lang w:val="en-US" w:eastAsia="zh-CN" w:bidi="ar-SA"/>
              </w:rPr>
              <w:t>四档（12分）：针对本项目服务场所内可能发生的医闹、火灾、群体性突发安全事件、偷盗抢劫、紧急安全疏散、院内交通拥堵等制定有应急预案，方案内容详细，措施得力；针对重大活动、节假日安全保卫等制定有专项应急服务方案；具备联防联动能力，在紧急事件发生时，能立即组织人员进行处置，并提供相应处置成功案例进行佐证。</w:t>
            </w:r>
          </w:p>
        </w:tc>
        <w:tc>
          <w:tcPr>
            <w:tcW w:w="1748" w:type="dxa"/>
            <w:noWrap w:val="0"/>
            <w:vAlign w:val="center"/>
          </w:tcPr>
          <w:p w14:paraId="6E37CD19">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0-</w:t>
            </w:r>
            <w:r>
              <w:rPr>
                <w:rFonts w:hint="eastAsia" w:ascii="宋体" w:hAnsi="宋体" w:eastAsia="宋体" w:cs="宋体"/>
                <w:bCs/>
                <w:color w:val="auto"/>
                <w:sz w:val="24"/>
                <w:lang w:val="en-US" w:eastAsia="zh-CN"/>
              </w:rPr>
              <w:t>12</w:t>
            </w:r>
            <w:r>
              <w:rPr>
                <w:rFonts w:hint="eastAsia" w:ascii="宋体" w:hAnsi="宋体" w:eastAsia="宋体" w:cs="宋体"/>
                <w:bCs/>
                <w:color w:val="auto"/>
                <w:sz w:val="24"/>
              </w:rPr>
              <w:t>分</w:t>
            </w:r>
          </w:p>
        </w:tc>
        <w:tc>
          <w:tcPr>
            <w:tcW w:w="902" w:type="dxa"/>
            <w:noWrap w:val="0"/>
            <w:vAlign w:val="center"/>
          </w:tcPr>
          <w:p w14:paraId="5453265A">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p>
        </w:tc>
      </w:tr>
      <w:tr w14:paraId="6A70EB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2" w:hRule="atLeast"/>
        </w:trPr>
        <w:tc>
          <w:tcPr>
            <w:tcW w:w="690" w:type="dxa"/>
            <w:noWrap w:val="0"/>
            <w:vAlign w:val="center"/>
          </w:tcPr>
          <w:p w14:paraId="7FC37656">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lang w:eastAsia="zh-CN"/>
              </w:rPr>
            </w:pPr>
            <w:r>
              <w:rPr>
                <w:rFonts w:hint="eastAsia" w:ascii="宋体" w:hAnsi="宋体" w:eastAsia="宋体" w:cs="宋体"/>
                <w:bCs/>
                <w:sz w:val="24"/>
              </w:rPr>
              <w:t>2.</w:t>
            </w:r>
            <w:r>
              <w:rPr>
                <w:rFonts w:hint="eastAsia" w:ascii="宋体" w:hAnsi="宋体" w:eastAsia="宋体" w:cs="宋体"/>
                <w:bCs/>
                <w:sz w:val="24"/>
                <w:lang w:val="en-US" w:eastAsia="zh-CN"/>
              </w:rPr>
              <w:t>4</w:t>
            </w:r>
          </w:p>
        </w:tc>
        <w:tc>
          <w:tcPr>
            <w:tcW w:w="1660" w:type="dxa"/>
            <w:noWrap w:val="0"/>
            <w:vAlign w:val="center"/>
          </w:tcPr>
          <w:p w14:paraId="3C72C680">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kern w:val="0"/>
                <w:sz w:val="24"/>
                <w:lang w:val="en-US" w:eastAsia="zh-CN"/>
              </w:rPr>
            </w:pPr>
            <w:r>
              <w:rPr>
                <w:rFonts w:hint="eastAsia" w:ascii="宋体" w:hAnsi="宋体" w:eastAsia="宋体" w:cs="宋体"/>
                <w:bCs/>
                <w:color w:val="auto"/>
                <w:kern w:val="0"/>
                <w:sz w:val="24"/>
                <w:lang w:val="en-US" w:eastAsia="zh-CN"/>
              </w:rPr>
              <w:t>拟投入物资装备</w:t>
            </w:r>
            <w:r>
              <w:rPr>
                <w:rFonts w:hint="eastAsia" w:ascii="宋体" w:hAnsi="宋体" w:eastAsia="宋体" w:cs="宋体"/>
                <w:bCs/>
                <w:color w:val="auto"/>
                <w:spacing w:val="0"/>
                <w:kern w:val="0"/>
                <w:sz w:val="24"/>
                <w:szCs w:val="24"/>
                <w:lang w:val="en-US" w:eastAsia="zh-CN" w:bidi="ar-SA"/>
              </w:rPr>
              <w:t>（满分9分）</w:t>
            </w:r>
          </w:p>
          <w:p w14:paraId="105A6321">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sz w:val="24"/>
              </w:rPr>
            </w:pPr>
          </w:p>
        </w:tc>
        <w:tc>
          <w:tcPr>
            <w:tcW w:w="4920" w:type="dxa"/>
            <w:noWrap w:val="0"/>
            <w:vAlign w:val="center"/>
          </w:tcPr>
          <w:p w14:paraId="5BBBD2E9">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由评委根据各供应商拟投入物资装备情况确定各供应商所属档次及分值。</w:t>
            </w:r>
          </w:p>
          <w:p w14:paraId="3DED428F">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 xml:space="preserve">一档（0分）：未提供或配置的物资装备欠缺，服务保障能力不足； </w:t>
            </w:r>
          </w:p>
          <w:p w14:paraId="5FB2717F">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 xml:space="preserve">二档（3分）：配置必要的基础物资装备，满足基本的服务开展需要； </w:t>
            </w:r>
          </w:p>
          <w:p w14:paraId="063FAA10">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 xml:space="preserve">三档（6分）：拟投入本项目的物资装备比较齐全，考虑较周全，能有效保障服务开展； </w:t>
            </w:r>
          </w:p>
          <w:p w14:paraId="6B07BED5">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aps w:val="0"/>
                <w:color w:val="auto"/>
                <w:spacing w:val="0"/>
                <w:kern w:val="2"/>
                <w:sz w:val="24"/>
                <w:szCs w:val="24"/>
                <w:lang w:val="en-US" w:eastAsia="zh-CN" w:bidi="ar-SA"/>
              </w:rPr>
              <w:t>四档（9分）：拟投入本项目的物资装备考虑周全、完善，数量充足，契合本项目实际，针对性强，能很好满足各区域保安巡逻、应急响应处理，须提供详细的《拟投入物资装备》明细表。</w:t>
            </w:r>
          </w:p>
        </w:tc>
        <w:tc>
          <w:tcPr>
            <w:tcW w:w="1748" w:type="dxa"/>
            <w:noWrap w:val="0"/>
            <w:vAlign w:val="center"/>
          </w:tcPr>
          <w:p w14:paraId="225878C7">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0-</w:t>
            </w:r>
            <w:r>
              <w:rPr>
                <w:rFonts w:hint="eastAsia" w:ascii="宋体" w:hAnsi="宋体" w:eastAsia="宋体" w:cs="宋体"/>
                <w:bCs/>
                <w:color w:val="auto"/>
                <w:sz w:val="24"/>
                <w:lang w:val="en-US" w:eastAsia="zh-CN"/>
              </w:rPr>
              <w:t>9</w:t>
            </w:r>
            <w:r>
              <w:rPr>
                <w:rFonts w:hint="eastAsia" w:ascii="宋体" w:hAnsi="宋体" w:eastAsia="宋体" w:cs="宋体"/>
                <w:bCs/>
                <w:color w:val="auto"/>
                <w:sz w:val="24"/>
              </w:rPr>
              <w:t>分</w:t>
            </w:r>
          </w:p>
        </w:tc>
        <w:tc>
          <w:tcPr>
            <w:tcW w:w="902" w:type="dxa"/>
            <w:noWrap w:val="0"/>
            <w:vAlign w:val="center"/>
          </w:tcPr>
          <w:p w14:paraId="48B13629">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p>
        </w:tc>
      </w:tr>
      <w:tr w14:paraId="049D1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14:paraId="1BD48B3B">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2.5</w:t>
            </w:r>
          </w:p>
        </w:tc>
        <w:tc>
          <w:tcPr>
            <w:tcW w:w="1660" w:type="dxa"/>
            <w:noWrap w:val="0"/>
            <w:vAlign w:val="center"/>
          </w:tcPr>
          <w:p w14:paraId="59AF78B7">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sz w:val="24"/>
                <w:lang w:eastAsia="zh-CN"/>
              </w:rPr>
            </w:pPr>
            <w:r>
              <w:rPr>
                <w:rFonts w:hint="eastAsia" w:ascii="宋体" w:hAnsi="宋体" w:eastAsia="宋体" w:cs="宋体"/>
                <w:bCs/>
                <w:color w:val="auto"/>
                <w:kern w:val="0"/>
                <w:sz w:val="24"/>
                <w:lang w:val="en-US" w:eastAsia="zh-CN"/>
              </w:rPr>
              <w:t>拟投入实施人员</w:t>
            </w:r>
            <w:r>
              <w:rPr>
                <w:rFonts w:hint="eastAsia" w:ascii="宋体" w:hAnsi="宋体" w:eastAsia="宋体" w:cs="宋体"/>
                <w:bCs/>
                <w:color w:val="auto"/>
                <w:spacing w:val="0"/>
                <w:kern w:val="0"/>
                <w:sz w:val="24"/>
                <w:szCs w:val="24"/>
                <w:lang w:val="en-US" w:eastAsia="zh-CN" w:bidi="ar-SA"/>
              </w:rPr>
              <w:t>（满分12分）</w:t>
            </w:r>
          </w:p>
        </w:tc>
        <w:tc>
          <w:tcPr>
            <w:tcW w:w="4920" w:type="dxa"/>
            <w:noWrap w:val="0"/>
            <w:vAlign w:val="center"/>
          </w:tcPr>
          <w:p w14:paraId="42140A5A">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由评委根据各供应商拟投入实施人员情况确定各供应商所属档次及分值。</w:t>
            </w:r>
          </w:p>
          <w:p w14:paraId="0E5B2E81">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一档（0分）：未提供或拟投入实施人员方案的；</w:t>
            </w:r>
          </w:p>
          <w:p w14:paraId="1CBF0075">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二档（6分）：有简单的投入人员的名单及岗位配置方案，岗位设置基本满足采购需求，且拟投入本项目的班长、队长中有至少1名退伍军人，年龄50-55岁；</w:t>
            </w:r>
          </w:p>
          <w:p w14:paraId="0D83DC46">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三档（12分）：有具体的投入人员的名单及岗位配置方案，岗位设置满足采购需求，且拟投入本项目的班长、队长中有至少2名退伍军人，其中队长年龄50-55岁，班长年龄45-50岁；</w:t>
            </w:r>
          </w:p>
          <w:p w14:paraId="085AEEEE">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auto"/>
                <w:spacing w:val="0"/>
                <w:kern w:val="2"/>
                <w:sz w:val="24"/>
                <w:szCs w:val="24"/>
                <w:lang w:val="en-US" w:eastAsia="zh-CN" w:bidi="ar-SA"/>
              </w:rPr>
            </w:pPr>
            <w:r>
              <w:rPr>
                <w:rFonts w:hint="eastAsia" w:ascii="宋体" w:hAnsi="宋体" w:eastAsia="宋体" w:cs="宋体"/>
                <w:i w:val="0"/>
                <w:iCs w:val="0"/>
                <w:caps w:val="0"/>
                <w:color w:val="auto"/>
                <w:spacing w:val="0"/>
                <w:kern w:val="2"/>
                <w:sz w:val="24"/>
                <w:szCs w:val="24"/>
                <w:lang w:val="en-US" w:eastAsia="zh-CN" w:bidi="ar-SA"/>
              </w:rPr>
              <w:t>四档（18分）有具体详细的投入人员的名单及岗位配置方案，具备可行性，岗位设置优于采购需求，且拟投入本项目的班长、队长中有至少3名退伍军人，其中队长年龄45-50岁，班长年龄48岁以下；方案中承诺50岁以下的保安员不低于总数的20%。</w:t>
            </w:r>
          </w:p>
          <w:p w14:paraId="7DDDEB94">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bCs/>
                <w:color w:val="auto"/>
                <w:sz w:val="24"/>
              </w:rPr>
            </w:pPr>
            <w:r>
              <w:rPr>
                <w:rFonts w:hint="eastAsia" w:ascii="宋体" w:hAnsi="宋体" w:eastAsia="宋体" w:cs="宋体"/>
                <w:i w:val="0"/>
                <w:iCs w:val="0"/>
                <w:caps w:val="0"/>
                <w:color w:val="auto"/>
                <w:spacing w:val="0"/>
                <w:kern w:val="2"/>
                <w:sz w:val="24"/>
                <w:szCs w:val="24"/>
                <w:lang w:val="en-US" w:eastAsia="zh-CN" w:bidi="ar-SA"/>
              </w:rPr>
              <w:t>注：提供上述人员相关证明复印件，并加盖供应商公章，否则不予计分。</w:t>
            </w:r>
          </w:p>
        </w:tc>
        <w:tc>
          <w:tcPr>
            <w:tcW w:w="1748" w:type="dxa"/>
            <w:noWrap w:val="0"/>
            <w:vAlign w:val="center"/>
          </w:tcPr>
          <w:p w14:paraId="0AC75304">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lang w:val="en-US" w:eastAsia="zh-CN"/>
              </w:rPr>
              <w:t>0-18</w:t>
            </w:r>
            <w:r>
              <w:rPr>
                <w:rFonts w:hint="eastAsia" w:ascii="宋体" w:hAnsi="宋体" w:eastAsia="宋体" w:cs="宋体"/>
                <w:bCs/>
                <w:color w:val="auto"/>
                <w:sz w:val="24"/>
              </w:rPr>
              <w:t>分</w:t>
            </w:r>
          </w:p>
        </w:tc>
        <w:tc>
          <w:tcPr>
            <w:tcW w:w="902" w:type="dxa"/>
            <w:noWrap w:val="0"/>
            <w:vAlign w:val="center"/>
          </w:tcPr>
          <w:p w14:paraId="0EB606C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p>
        </w:tc>
      </w:tr>
      <w:tr w14:paraId="37829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6" w:hRule="atLeast"/>
        </w:trPr>
        <w:tc>
          <w:tcPr>
            <w:tcW w:w="690" w:type="dxa"/>
            <w:noWrap w:val="0"/>
            <w:vAlign w:val="center"/>
          </w:tcPr>
          <w:p w14:paraId="2CFF98E0">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2.6</w:t>
            </w:r>
          </w:p>
        </w:tc>
        <w:tc>
          <w:tcPr>
            <w:tcW w:w="1660" w:type="dxa"/>
            <w:noWrap w:val="0"/>
            <w:vAlign w:val="center"/>
          </w:tcPr>
          <w:p w14:paraId="4FD0405B">
            <w:pPr>
              <w:pStyle w:val="51"/>
              <w:keepNext w:val="0"/>
              <w:keepLines w:val="0"/>
              <w:pageBreakBefore w:val="0"/>
              <w:tabs>
                <w:tab w:val="left" w:pos="0"/>
              </w:tabs>
              <w:kinsoku/>
              <w:wordWrap/>
              <w:overflowPunct/>
              <w:topLinePunct w:val="0"/>
              <w:autoSpaceDE/>
              <w:autoSpaceDN/>
              <w:bidi w:val="0"/>
              <w:adjustRightInd/>
              <w:snapToGrid/>
              <w:spacing w:line="336" w:lineRule="auto"/>
              <w:ind w:left="0" w:leftChars="0" w:firstLine="0" w:firstLineChars="0"/>
              <w:jc w:val="center"/>
              <w:textAlignment w:val="auto"/>
              <w:rPr>
                <w:rFonts w:hint="eastAsia" w:ascii="宋体" w:hAnsi="宋体" w:eastAsia="宋体" w:cs="宋体"/>
                <w:lang w:eastAsia="zh-CN"/>
              </w:rPr>
            </w:pPr>
            <w:r>
              <w:rPr>
                <w:rFonts w:hint="eastAsia" w:ascii="宋体" w:hAnsi="宋体" w:eastAsia="宋体" w:cs="宋体"/>
                <w:bCs/>
                <w:spacing w:val="0"/>
                <w:kern w:val="0"/>
                <w:sz w:val="24"/>
                <w:szCs w:val="24"/>
                <w:lang w:val="en-US" w:eastAsia="zh-CN" w:bidi="ar-SA"/>
              </w:rPr>
              <w:t>接管和退场方案（满分6分）</w:t>
            </w:r>
          </w:p>
        </w:tc>
        <w:tc>
          <w:tcPr>
            <w:tcW w:w="4920" w:type="dxa"/>
            <w:noWrap w:val="0"/>
            <w:vAlign w:val="center"/>
          </w:tcPr>
          <w:p w14:paraId="1AE0AB7B">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404040"/>
                <w:spacing w:val="0"/>
                <w:kern w:val="2"/>
                <w:sz w:val="24"/>
                <w:szCs w:val="24"/>
                <w:lang w:val="en-US" w:eastAsia="zh-CN" w:bidi="ar-SA"/>
              </w:rPr>
            </w:pPr>
            <w:r>
              <w:rPr>
                <w:rFonts w:hint="eastAsia" w:ascii="宋体" w:hAnsi="宋体" w:eastAsia="宋体" w:cs="宋体"/>
                <w:i w:val="0"/>
                <w:iCs w:val="0"/>
                <w:caps w:val="0"/>
                <w:color w:val="404040"/>
                <w:spacing w:val="0"/>
                <w:kern w:val="2"/>
                <w:sz w:val="24"/>
                <w:szCs w:val="24"/>
                <w:lang w:val="en-US" w:eastAsia="zh-CN" w:bidi="ar-SA"/>
              </w:rPr>
              <w:t>由磋商小组根据各供应商针对本项目的接管和退场方案确定各供应商所属档次及分值。</w:t>
            </w:r>
          </w:p>
          <w:p w14:paraId="112C3693">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404040"/>
                <w:spacing w:val="0"/>
                <w:kern w:val="2"/>
                <w:sz w:val="24"/>
                <w:szCs w:val="24"/>
                <w:lang w:val="en-US" w:eastAsia="zh-CN" w:bidi="ar-SA"/>
              </w:rPr>
            </w:pPr>
            <w:r>
              <w:rPr>
                <w:rFonts w:hint="eastAsia" w:ascii="宋体" w:hAnsi="宋体" w:eastAsia="宋体" w:cs="宋体"/>
                <w:i w:val="0"/>
                <w:iCs w:val="0"/>
                <w:caps w:val="0"/>
                <w:color w:val="404040"/>
                <w:spacing w:val="0"/>
                <w:kern w:val="2"/>
                <w:sz w:val="24"/>
                <w:szCs w:val="24"/>
                <w:lang w:val="en-US" w:eastAsia="zh-CN" w:bidi="ar-SA"/>
              </w:rPr>
              <w:t>一档（0分）：未提供或提供的内容过于简单的；</w:t>
            </w:r>
          </w:p>
          <w:p w14:paraId="06B62663">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404040"/>
                <w:spacing w:val="0"/>
                <w:kern w:val="2"/>
                <w:sz w:val="24"/>
                <w:szCs w:val="24"/>
                <w:lang w:val="en-US" w:eastAsia="zh-CN" w:bidi="ar-SA"/>
              </w:rPr>
            </w:pPr>
            <w:r>
              <w:rPr>
                <w:rFonts w:hint="eastAsia" w:ascii="宋体" w:hAnsi="宋体" w:eastAsia="宋体" w:cs="宋体"/>
                <w:i w:val="0"/>
                <w:iCs w:val="0"/>
                <w:caps w:val="0"/>
                <w:color w:val="404040"/>
                <w:spacing w:val="0"/>
                <w:kern w:val="2"/>
                <w:sz w:val="24"/>
                <w:szCs w:val="24"/>
                <w:lang w:val="en-US" w:eastAsia="zh-CN" w:bidi="ar-SA"/>
              </w:rPr>
              <w:t>二档（3分）：提供的接管方案和退场方案符合采购需求，有时间安排；</w:t>
            </w:r>
          </w:p>
          <w:p w14:paraId="43F42A63">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kern w:val="2"/>
                <w:sz w:val="24"/>
                <w:szCs w:val="24"/>
                <w:lang w:val="en-US" w:eastAsia="zh-CN" w:bidi="ar-SA"/>
              </w:rPr>
              <w:t>三档（6分）：在二档的基础上，提供的接管方案和退场方案内容详尽、可行，还能提供相关物资安排、人员安排等；能给采购人提供更科学的方案建议。</w:t>
            </w:r>
          </w:p>
        </w:tc>
        <w:tc>
          <w:tcPr>
            <w:tcW w:w="1748" w:type="dxa"/>
            <w:noWrap w:val="0"/>
            <w:vAlign w:val="center"/>
          </w:tcPr>
          <w:p w14:paraId="2FE8D7B4">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0-6分</w:t>
            </w:r>
          </w:p>
        </w:tc>
        <w:tc>
          <w:tcPr>
            <w:tcW w:w="902" w:type="dxa"/>
            <w:noWrap w:val="0"/>
            <w:vAlign w:val="center"/>
          </w:tcPr>
          <w:p w14:paraId="4AAE6694">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p>
        </w:tc>
      </w:tr>
      <w:tr w14:paraId="45B57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6" w:hRule="atLeast"/>
        </w:trPr>
        <w:tc>
          <w:tcPr>
            <w:tcW w:w="690" w:type="dxa"/>
            <w:noWrap w:val="0"/>
            <w:vAlign w:val="center"/>
          </w:tcPr>
          <w:p w14:paraId="36CEC9A5">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3</w:t>
            </w:r>
          </w:p>
        </w:tc>
        <w:tc>
          <w:tcPr>
            <w:tcW w:w="1660" w:type="dxa"/>
            <w:noWrap w:val="0"/>
            <w:vAlign w:val="center"/>
          </w:tcPr>
          <w:p w14:paraId="7E21A478">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bCs/>
                <w:spacing w:val="0"/>
                <w:kern w:val="0"/>
                <w:sz w:val="24"/>
                <w:szCs w:val="24"/>
                <w:lang w:val="en-US" w:eastAsia="zh-CN" w:bidi="ar-SA"/>
              </w:rPr>
            </w:pPr>
            <w:r>
              <w:rPr>
                <w:rFonts w:hint="eastAsia" w:ascii="宋体" w:hAnsi="宋体" w:eastAsia="宋体" w:cs="宋体"/>
                <w:bCs/>
                <w:spacing w:val="0"/>
                <w:kern w:val="0"/>
                <w:sz w:val="24"/>
                <w:szCs w:val="24"/>
                <w:lang w:val="en-US" w:eastAsia="zh-CN" w:bidi="ar-SA"/>
              </w:rPr>
              <w:t>商务分</w:t>
            </w:r>
          </w:p>
          <w:p w14:paraId="74B29308">
            <w:pPr>
              <w:pStyle w:val="51"/>
              <w:keepNext w:val="0"/>
              <w:keepLines w:val="0"/>
              <w:pageBreakBefore w:val="0"/>
              <w:tabs>
                <w:tab w:val="left" w:pos="0"/>
              </w:tabs>
              <w:kinsoku/>
              <w:wordWrap/>
              <w:overflowPunct/>
              <w:topLinePunct w:val="0"/>
              <w:autoSpaceDE/>
              <w:autoSpaceDN/>
              <w:bidi w:val="0"/>
              <w:adjustRightInd/>
              <w:snapToGrid/>
              <w:spacing w:line="336" w:lineRule="auto"/>
              <w:ind w:left="0" w:leftChars="0" w:firstLine="0" w:firstLineChars="0"/>
              <w:jc w:val="center"/>
              <w:textAlignment w:val="auto"/>
              <w:rPr>
                <w:rFonts w:hint="eastAsia" w:ascii="宋体" w:hAnsi="宋体" w:eastAsia="宋体" w:cs="宋体"/>
                <w:lang w:val="en-US" w:eastAsia="zh-CN"/>
              </w:rPr>
            </w:pPr>
            <w:r>
              <w:rPr>
                <w:rFonts w:hint="eastAsia" w:ascii="宋体" w:hAnsi="宋体" w:eastAsia="宋体" w:cs="宋体"/>
                <w:bCs/>
                <w:spacing w:val="0"/>
                <w:kern w:val="0"/>
                <w:sz w:val="24"/>
                <w:szCs w:val="24"/>
                <w:lang w:val="en-US" w:eastAsia="zh-CN" w:bidi="ar-SA"/>
              </w:rPr>
              <w:t>（满分3分）</w:t>
            </w:r>
          </w:p>
        </w:tc>
        <w:tc>
          <w:tcPr>
            <w:tcW w:w="4920" w:type="dxa"/>
            <w:noWrap w:val="0"/>
            <w:vAlign w:val="center"/>
          </w:tcPr>
          <w:p w14:paraId="329B7B07">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404040"/>
                <w:spacing w:val="0"/>
                <w:kern w:val="2"/>
                <w:sz w:val="24"/>
                <w:szCs w:val="24"/>
                <w:lang w:val="en-US" w:eastAsia="zh-CN" w:bidi="ar-SA"/>
              </w:rPr>
            </w:pPr>
            <w:r>
              <w:rPr>
                <w:rFonts w:hint="eastAsia" w:ascii="宋体" w:hAnsi="宋体" w:eastAsia="宋体" w:cs="宋体"/>
                <w:i w:val="0"/>
                <w:iCs w:val="0"/>
                <w:caps w:val="0"/>
                <w:color w:val="404040"/>
                <w:spacing w:val="0"/>
                <w:kern w:val="2"/>
                <w:sz w:val="24"/>
                <w:szCs w:val="24"/>
                <w:lang w:val="en-US" w:eastAsia="zh-CN" w:bidi="ar-SA"/>
              </w:rPr>
              <w:t xml:space="preserve">供应商自2022年1月1日以来具有同类项目实施业绩（类似保安服务项目，以合同书原件扫描件为准，要求能清晰反映合同中的同类项目名称及内容，否则不予计分），每提供一份业绩合同得1分，满分3分。 </w:t>
            </w:r>
          </w:p>
          <w:p w14:paraId="0EC54F44">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i w:val="0"/>
                <w:iCs w:val="0"/>
                <w:caps w:val="0"/>
                <w:color w:val="404040"/>
                <w:spacing w:val="0"/>
                <w:kern w:val="2"/>
                <w:sz w:val="24"/>
                <w:szCs w:val="24"/>
                <w:lang w:val="en-US" w:eastAsia="zh-CN" w:bidi="ar-SA"/>
              </w:rPr>
            </w:pPr>
            <w:r>
              <w:rPr>
                <w:rFonts w:hint="eastAsia" w:ascii="宋体" w:hAnsi="宋体" w:eastAsia="宋体" w:cs="宋体"/>
                <w:i w:val="0"/>
                <w:iCs w:val="0"/>
                <w:caps w:val="0"/>
                <w:color w:val="404040"/>
                <w:spacing w:val="0"/>
                <w:kern w:val="2"/>
                <w:sz w:val="24"/>
                <w:szCs w:val="24"/>
                <w:lang w:val="en-US" w:eastAsia="zh-CN" w:bidi="ar-SA"/>
              </w:rPr>
              <w:t xml:space="preserve">注：同一采购项目有两个或两个以上的分标中标（成交）的只能计算为一次业绩。 </w:t>
            </w:r>
          </w:p>
        </w:tc>
        <w:tc>
          <w:tcPr>
            <w:tcW w:w="1748" w:type="dxa"/>
            <w:noWrap w:val="0"/>
            <w:vAlign w:val="center"/>
          </w:tcPr>
          <w:p w14:paraId="34782619">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r>
              <w:rPr>
                <w:rFonts w:hint="eastAsia" w:ascii="宋体" w:hAnsi="宋体" w:eastAsia="宋体" w:cs="宋体"/>
                <w:bCs/>
                <w:sz w:val="24"/>
              </w:rPr>
              <w:t>0-</w:t>
            </w:r>
            <w:r>
              <w:rPr>
                <w:rFonts w:hint="eastAsia" w:ascii="宋体" w:hAnsi="宋体" w:eastAsia="宋体" w:cs="宋体"/>
                <w:bCs/>
                <w:sz w:val="24"/>
                <w:lang w:val="en-US" w:eastAsia="zh-CN"/>
              </w:rPr>
              <w:t>3</w:t>
            </w:r>
            <w:r>
              <w:rPr>
                <w:rFonts w:hint="eastAsia" w:ascii="宋体" w:hAnsi="宋体" w:eastAsia="宋体" w:cs="宋体"/>
                <w:bCs/>
                <w:sz w:val="24"/>
              </w:rPr>
              <w:t>分</w:t>
            </w:r>
          </w:p>
          <w:p w14:paraId="3EE29F8C">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lang w:val="en-US" w:eastAsia="zh-CN"/>
              </w:rPr>
            </w:pPr>
            <w:r>
              <w:rPr>
                <w:rFonts w:hint="eastAsia" w:ascii="宋体" w:hAnsi="宋体" w:eastAsia="宋体" w:cs="宋体"/>
                <w:bCs/>
                <w:sz w:val="24"/>
              </w:rPr>
              <w:t>（满分</w:t>
            </w:r>
            <w:r>
              <w:rPr>
                <w:rFonts w:hint="eastAsia" w:ascii="宋体" w:hAnsi="宋体" w:eastAsia="宋体" w:cs="宋体"/>
                <w:bCs/>
                <w:sz w:val="24"/>
                <w:lang w:val="en-US" w:eastAsia="zh-CN"/>
              </w:rPr>
              <w:t>3</w:t>
            </w:r>
            <w:r>
              <w:rPr>
                <w:rFonts w:hint="eastAsia" w:ascii="宋体" w:hAnsi="宋体" w:eastAsia="宋体" w:cs="宋体"/>
                <w:bCs/>
                <w:sz w:val="24"/>
              </w:rPr>
              <w:t>分）</w:t>
            </w:r>
          </w:p>
        </w:tc>
        <w:tc>
          <w:tcPr>
            <w:tcW w:w="902" w:type="dxa"/>
            <w:noWrap w:val="0"/>
            <w:vAlign w:val="center"/>
          </w:tcPr>
          <w:p w14:paraId="0846873C">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bCs/>
                <w:sz w:val="24"/>
              </w:rPr>
            </w:pPr>
          </w:p>
        </w:tc>
      </w:tr>
      <w:tr w14:paraId="55A69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270" w:type="dxa"/>
            <w:gridSpan w:val="3"/>
            <w:noWrap w:val="0"/>
            <w:vAlign w:val="center"/>
          </w:tcPr>
          <w:p w14:paraId="383B7039">
            <w:pPr>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bCs/>
                <w:sz w:val="24"/>
                <w:lang w:val="en-US" w:eastAsia="zh-CN"/>
              </w:rPr>
            </w:pPr>
            <w:r>
              <w:rPr>
                <w:rFonts w:hint="eastAsia" w:ascii="宋体" w:hAnsi="宋体" w:eastAsia="宋体" w:cs="宋体"/>
                <w:bCs/>
                <w:sz w:val="24"/>
              </w:rPr>
              <w:t>总得分</w:t>
            </w:r>
            <w:r>
              <w:rPr>
                <w:rFonts w:hint="eastAsia" w:ascii="宋体" w:hAnsi="宋体" w:eastAsia="宋体" w:cs="宋体"/>
                <w:bCs/>
                <w:sz w:val="24"/>
                <w:lang w:val="en-US" w:eastAsia="zh-CN"/>
              </w:rPr>
              <w:t>100分</w:t>
            </w:r>
            <w:r>
              <w:rPr>
                <w:rFonts w:hint="eastAsia" w:ascii="宋体" w:hAnsi="宋体" w:eastAsia="宋体" w:cs="宋体"/>
                <w:bCs/>
                <w:sz w:val="24"/>
              </w:rPr>
              <w:t>（100分）＝1＋2＋3</w:t>
            </w:r>
          </w:p>
        </w:tc>
        <w:tc>
          <w:tcPr>
            <w:tcW w:w="1748" w:type="dxa"/>
            <w:noWrap w:val="0"/>
            <w:vAlign w:val="center"/>
          </w:tcPr>
          <w:p w14:paraId="4234FBA8">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总分100分</w:t>
            </w:r>
          </w:p>
        </w:tc>
        <w:tc>
          <w:tcPr>
            <w:tcW w:w="902" w:type="dxa"/>
            <w:noWrap w:val="0"/>
            <w:vAlign w:val="center"/>
          </w:tcPr>
          <w:p w14:paraId="72B37ABC">
            <w:pPr>
              <w:keepNext w:val="0"/>
              <w:keepLines w:val="0"/>
              <w:pageBreakBefore w:val="0"/>
              <w:widowControl/>
              <w:kinsoku/>
              <w:wordWrap/>
              <w:overflowPunct/>
              <w:topLinePunct w:val="0"/>
              <w:autoSpaceDE/>
              <w:autoSpaceDN/>
              <w:bidi w:val="0"/>
              <w:adjustRightInd/>
              <w:snapToGrid/>
              <w:spacing w:line="336" w:lineRule="auto"/>
              <w:jc w:val="center"/>
              <w:textAlignment w:val="auto"/>
              <w:rPr>
                <w:rFonts w:hint="eastAsia" w:ascii="宋体" w:hAnsi="宋体" w:eastAsia="宋体" w:cs="宋体"/>
                <w:kern w:val="0"/>
                <w:sz w:val="24"/>
              </w:rPr>
            </w:pPr>
          </w:p>
        </w:tc>
      </w:tr>
      <w:tr w14:paraId="20642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trPr>
        <w:tc>
          <w:tcPr>
            <w:tcW w:w="9920" w:type="dxa"/>
            <w:gridSpan w:val="5"/>
            <w:noWrap w:val="0"/>
            <w:vAlign w:val="center"/>
          </w:tcPr>
          <w:p w14:paraId="14BB17F4">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评委专家签字：</w:t>
            </w:r>
          </w:p>
        </w:tc>
      </w:tr>
    </w:tbl>
    <w:p w14:paraId="18A59A40">
      <w:pPr>
        <w:rPr>
          <w:rFonts w:hint="eastAsia" w:ascii="宋体" w:hAnsi="宋体" w:eastAsia="宋体" w:cs="宋体"/>
        </w:rPr>
      </w:pPr>
    </w:p>
    <w:p w14:paraId="2C7D6D2F">
      <w:pPr>
        <w:pStyle w:val="19"/>
        <w:rPr>
          <w:rFonts w:hint="eastAsia" w:ascii="宋体" w:hAnsi="宋体" w:eastAsia="宋体" w:cs="宋体"/>
        </w:rPr>
      </w:pP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Wingdings 2">
    <w:altName w:val="Wingdings"/>
    <w:panose1 w:val="05020102010507070707"/>
    <w:charset w:val="00"/>
    <w:family w:val="auto"/>
    <w:pitch w:val="default"/>
    <w:sig w:usb0="00000000" w:usb1="00000000" w:usb2="00000000" w:usb3="00000000" w:csb0="80000000" w:csb1="00000000"/>
  </w:font>
  <w:font w:name="Kingsoft UE">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融水苗族自治县人民医院保安服务项目</w:t>
    </w:r>
    <w:r>
      <w:rPr>
        <w:rFonts w:hint="eastAsia"/>
        <w:color w:val="auto"/>
      </w:rPr>
      <w:t>（采购编号：RYCG202</w:t>
    </w:r>
    <w:r>
      <w:rPr>
        <w:rFonts w:hint="eastAsia"/>
        <w:color w:val="auto"/>
        <w:lang w:val="en-US" w:eastAsia="zh-CN"/>
      </w:rPr>
      <w:t>5</w:t>
    </w:r>
    <w:r>
      <w:rPr>
        <w:rFonts w:hint="eastAsia"/>
        <w:color w:val="auto"/>
      </w:rPr>
      <w:t>0</w:t>
    </w:r>
    <w:r>
      <w:rPr>
        <w:rFonts w:hint="eastAsia"/>
        <w:color w:val="auto"/>
        <w:lang w:val="en-US" w:eastAsia="zh-CN"/>
      </w:rPr>
      <w:t>32融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1">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1F5BBC"/>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8F39B4"/>
    <w:rsid w:val="289274C9"/>
    <w:rsid w:val="28B60052"/>
    <w:rsid w:val="28B70282"/>
    <w:rsid w:val="28B8228C"/>
    <w:rsid w:val="28C03C94"/>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B6018"/>
    <w:rsid w:val="299C3FFF"/>
    <w:rsid w:val="29C576CD"/>
    <w:rsid w:val="29CC61D1"/>
    <w:rsid w:val="29D75714"/>
    <w:rsid w:val="29F41141"/>
    <w:rsid w:val="2A0A3428"/>
    <w:rsid w:val="2A32072A"/>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920D71"/>
    <w:rsid w:val="3AA345F2"/>
    <w:rsid w:val="3AF13F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20789E"/>
    <w:rsid w:val="532365B3"/>
    <w:rsid w:val="533F6118"/>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C4CE0"/>
    <w:rsid w:val="55CE6CAA"/>
    <w:rsid w:val="55D818D6"/>
    <w:rsid w:val="55EC35D4"/>
    <w:rsid w:val="55FB7373"/>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B22A0D"/>
    <w:rsid w:val="5DC9453A"/>
    <w:rsid w:val="5DE5004E"/>
    <w:rsid w:val="5DE54B90"/>
    <w:rsid w:val="5DFA19CC"/>
    <w:rsid w:val="5E0771FD"/>
    <w:rsid w:val="5E270E0C"/>
    <w:rsid w:val="5E325981"/>
    <w:rsid w:val="5E373DEA"/>
    <w:rsid w:val="5E4D0988"/>
    <w:rsid w:val="5E5B30A5"/>
    <w:rsid w:val="5E5E2B95"/>
    <w:rsid w:val="5E604B5F"/>
    <w:rsid w:val="5E7E0E34"/>
    <w:rsid w:val="5E8028DC"/>
    <w:rsid w:val="5ECA478A"/>
    <w:rsid w:val="5ECC5203"/>
    <w:rsid w:val="5EE17A4E"/>
    <w:rsid w:val="5EE548DD"/>
    <w:rsid w:val="5EE66E12"/>
    <w:rsid w:val="5F2931A3"/>
    <w:rsid w:val="5F3C2ED6"/>
    <w:rsid w:val="5F3F7361"/>
    <w:rsid w:val="5F7A6552"/>
    <w:rsid w:val="5F81604B"/>
    <w:rsid w:val="5F84662B"/>
    <w:rsid w:val="5F896246"/>
    <w:rsid w:val="5F9A37B0"/>
    <w:rsid w:val="5FBC7B73"/>
    <w:rsid w:val="5FC170D0"/>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C646D"/>
    <w:rsid w:val="60BD6710"/>
    <w:rsid w:val="60C27754"/>
    <w:rsid w:val="60C35D0E"/>
    <w:rsid w:val="60D407C7"/>
    <w:rsid w:val="60FD0443"/>
    <w:rsid w:val="61073070"/>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594684"/>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8F37C2"/>
    <w:rsid w:val="6BA37E39"/>
    <w:rsid w:val="6BC8789F"/>
    <w:rsid w:val="6C00755B"/>
    <w:rsid w:val="6C0E79A8"/>
    <w:rsid w:val="6C1915BD"/>
    <w:rsid w:val="6C2B055A"/>
    <w:rsid w:val="6C38333A"/>
    <w:rsid w:val="6C3A69EF"/>
    <w:rsid w:val="6C3B20B3"/>
    <w:rsid w:val="6C3C459F"/>
    <w:rsid w:val="6C417D7E"/>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B36A59"/>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160"/>
    <w:qFormat/>
    <w:uiPriority w:val="0"/>
    <w:pPr>
      <w:keepNext/>
      <w:keepLines/>
      <w:spacing w:before="260" w:after="260" w:line="413" w:lineRule="auto"/>
      <w:outlineLvl w:val="2"/>
    </w:pPr>
    <w:rPr>
      <w:b/>
      <w:bCs/>
      <w:sz w:val="32"/>
      <w:szCs w:val="32"/>
    </w:rPr>
  </w:style>
  <w:style w:type="paragraph" w:styleId="5">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7"/>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7"/>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7"/>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next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7"/>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6"/>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5"/>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19</Pages>
  <Words>4744</Words>
  <Characters>4958</Characters>
  <Lines>298</Lines>
  <Paragraphs>84</Paragraphs>
  <TotalTime>45</TotalTime>
  <ScaleCrop>false</ScaleCrop>
  <LinksUpToDate>false</LinksUpToDate>
  <CharactersWithSpaces>5358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Administrator</cp:lastModifiedBy>
  <cp:lastPrinted>2025-04-17T02:25:00Z</cp:lastPrinted>
  <dcterms:modified xsi:type="dcterms:W3CDTF">2025-04-17T03:27:27Z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4F4F72FE12CD43DF8622D78DD7638978_13</vt:lpwstr>
  </property>
  <property fmtid="{D5CDD505-2E9C-101B-9397-08002B2CF9AE}" pid="13" name="KSOTemplateDocerSaveRecord">
    <vt:lpwstr>eyJoZGlkIjoiN2FhMjA5Nzg3ZTUyODEzNDdmNDIzNTVmNDRjOTFmZmIiLCJ1c2VySWQiOiIyNTI2MzkyOTgifQ==</vt:lpwstr>
  </property>
</Properties>
</file>