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217446030"/>
      <w:bookmarkStart w:id="1" w:name="_Toc183682338"/>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Calibri" w:hAnsi="Calibri" w:eastAsia="宋体" w:cs="Times New Roman"/>
          <w:b w:val="0"/>
          <w:bCs w:val="0"/>
          <w:kern w:val="2"/>
          <w:sz w:val="24"/>
          <w:szCs w:val="24"/>
          <w:lang w:val="en-US" w:eastAsia="zh-CN" w:bidi="ar-SA"/>
        </w:rPr>
      </w:pPr>
      <w:r>
        <w:rPr>
          <w:rFonts w:hint="eastAsia" w:ascii="仿宋" w:hAnsi="仿宋" w:eastAsia="仿宋" w:cs="仿宋"/>
          <w:b w:val="0"/>
          <w:bCs w:val="0"/>
          <w:color w:val="auto"/>
          <w:kern w:val="2"/>
          <w:sz w:val="32"/>
          <w:szCs w:val="32"/>
          <w:lang w:val="en-US" w:eastAsia="zh-CN" w:bidi="ar-SA"/>
        </w:rPr>
        <w:t>项目名称：</w:t>
      </w:r>
      <w:r>
        <w:rPr>
          <w:rFonts w:hint="eastAsia" w:ascii="仿宋" w:hAnsi="仿宋" w:eastAsia="仿宋" w:cs="仿宋"/>
          <w:b w:val="0"/>
          <w:bCs w:val="0"/>
          <w:color w:val="auto"/>
          <w:kern w:val="2"/>
          <w:sz w:val="32"/>
          <w:szCs w:val="32"/>
          <w:lang w:val="en-US" w:eastAsia="zh-CN" w:bidi="ar-SA"/>
        </w:rPr>
        <w:t>融水苗族自治县人民医院停车场委托管理服务项目采购公告</w:t>
      </w:r>
    </w:p>
    <w:p>
      <w:pPr>
        <w:snapToGrid w:val="0"/>
        <w:spacing w:line="360" w:lineRule="auto"/>
        <w:rPr>
          <w:rFonts w:ascii="仿宋" w:hAnsi="仿宋" w:eastAsia="仿宋" w:cs="仿宋"/>
          <w:color w:val="auto"/>
          <w:sz w:val="32"/>
          <w:szCs w:val="32"/>
        </w:rPr>
      </w:pPr>
    </w:p>
    <w:p>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RYCG2024024</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pStyle w:val="34"/>
        <w:tabs>
          <w:tab w:val="right" w:leader="dot" w:pos="9000"/>
          <w:tab w:val="clear" w:pos="8398"/>
        </w:tabs>
        <w:ind w:firstLine="300"/>
        <w:rPr>
          <w:rFonts w:hint="eastAsia" w:ascii="宋体" w:hAnsi="宋体" w:cs="宋体"/>
          <w:color w:val="auto"/>
          <w:sz w:val="30"/>
          <w:szCs w:val="30"/>
          <w:highlight w:val="none"/>
        </w:rPr>
      </w:pPr>
    </w:p>
    <w:p>
      <w:pPr>
        <w:pStyle w:val="2"/>
        <w:spacing w:line="480" w:lineRule="auto"/>
        <w:rPr>
          <w:rFonts w:hint="eastAsia" w:ascii="宋体" w:hAnsi="宋体" w:cs="宋体"/>
          <w:color w:val="auto"/>
          <w:sz w:val="32"/>
          <w:szCs w:val="32"/>
          <w:highlight w:val="none"/>
        </w:rPr>
      </w:pP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_Toc32638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项目采购需求</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6</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lang w:val="en-US" w:eastAsia="zh-CN"/>
        </w:rPr>
        <w:t>0</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4</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6</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7</w:t>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ascii="宋体" w:hAnsi="宋体" w:cs="宋体"/>
          <w:color w:val="auto"/>
          <w:sz w:val="32"/>
          <w:szCs w:val="32"/>
          <w:highlight w:val="none"/>
          <w:lang w:val="en-US" w:eastAsia="zh-CN"/>
        </w:rPr>
        <w:t>十</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18</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2"/>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36"/>
          <w:szCs w:val="36"/>
          <w:lang w:val="en-US" w:eastAsia="zh-CN" w:bidi="ar-SA"/>
        </w:rPr>
      </w:pPr>
      <w:r>
        <w:rPr>
          <w:rFonts w:hint="eastAsia" w:ascii="方正小标宋简体" w:hAnsi="方正小标宋简体" w:eastAsia="方正小标宋简体" w:cs="方正小标宋简体"/>
          <w:b w:val="0"/>
          <w:bCs w:val="0"/>
          <w:kern w:val="2"/>
          <w:sz w:val="36"/>
          <w:szCs w:val="36"/>
          <w:lang w:val="en-US" w:eastAsia="zh-CN" w:bidi="ar-SA"/>
        </w:rPr>
        <w:t>融水苗族自治县人民医院停车场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宋体" w:hAnsi="宋体" w:eastAsia="宋体" w:cs="宋体"/>
          <w:i w:val="0"/>
          <w:iCs w:val="0"/>
          <w:caps w:val="0"/>
          <w:color w:val="333333"/>
          <w:spacing w:val="0"/>
          <w:sz w:val="24"/>
          <w:szCs w:val="24"/>
          <w:shd w:val="clear" w:fill="FFFFFF"/>
        </w:rPr>
      </w:pPr>
      <w:r>
        <w:rPr>
          <w:rFonts w:hint="eastAsia" w:ascii="方正小标宋简体" w:hAnsi="方正小标宋简体" w:eastAsia="方正小标宋简体" w:cs="方正小标宋简体"/>
          <w:b w:val="0"/>
          <w:bCs w:val="0"/>
          <w:kern w:val="2"/>
          <w:sz w:val="36"/>
          <w:szCs w:val="36"/>
          <w:lang w:val="en-US" w:eastAsia="zh-CN" w:bidi="ar-SA"/>
        </w:rPr>
        <w:t>委托管理服务项目采购公告</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根据我院业务工作开展的需要，近期拟对院内（包括宿舍区旧停车场和新建的智能停车场）停车场委托管理服务项目进行院内竞争性磋商，现将有关事项通知如下：</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一、项目名称：</w:t>
      </w:r>
      <w:r>
        <w:rPr>
          <w:rFonts w:hint="eastAsia" w:ascii="仿宋_GB2312" w:hAnsi="仿宋_GB2312" w:eastAsia="仿宋_GB2312" w:cs="仿宋_GB2312"/>
          <w:kern w:val="2"/>
          <w:sz w:val="32"/>
          <w:szCs w:val="32"/>
          <w:lang w:val="en-US" w:eastAsia="zh-CN" w:bidi="ar-SA"/>
        </w:rPr>
        <w:t>医院停车场委托管理服务项目</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二、项目编号：</w:t>
      </w:r>
      <w:r>
        <w:rPr>
          <w:rFonts w:hint="eastAsia" w:ascii="仿宋_GB2312" w:hAnsi="仿宋_GB2312" w:eastAsia="仿宋_GB2312" w:cs="仿宋_GB2312"/>
          <w:kern w:val="2"/>
          <w:sz w:val="32"/>
          <w:szCs w:val="32"/>
          <w:lang w:val="en-US" w:eastAsia="zh-CN" w:bidi="ar-SA"/>
        </w:rPr>
        <w:t>RYCG2024024</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三、采购需求：</w:t>
      </w:r>
    </w:p>
    <w:tbl>
      <w:tblPr>
        <w:tblStyle w:val="52"/>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47"/>
        <w:gridCol w:w="1236"/>
        <w:gridCol w:w="948"/>
        <w:gridCol w:w="643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标的名称</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简要技术需求或服务要求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830" w:hRule="atLeast"/>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停车场管理服务</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项目为融水苗族自治县人民医院停车场委托管理服务采购项目，成交供应商需全年不间断负责停车场日常运营、车辆秩序管理、车辆安全保障、医院范围内的入口和道路交通疏导、停车收费管理及监控系统软硬件设施的日常管理和维护等工作。</w:t>
            </w:r>
          </w:p>
        </w:tc>
      </w:tr>
    </w:tbl>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遴选1家服务商，首次合同期限1年，合同采用“1+1+1模式”最长不超过3年，合同期内如成交供应商服务无法达到医院要求，医院有权随时终止合同，相应损失均由成交供应商承担，医院不承担任何赔偿和补偿责任。如需进一步了解详细内容，详见竞争性磋商文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四、项目总预控价：</w:t>
      </w:r>
      <w:r>
        <w:rPr>
          <w:rFonts w:hint="eastAsia" w:ascii="仿宋_GB2312" w:hAnsi="仿宋_GB2312" w:eastAsia="仿宋_GB2312" w:cs="仿宋_GB2312"/>
          <w:kern w:val="2"/>
          <w:sz w:val="32"/>
          <w:szCs w:val="32"/>
          <w:lang w:val="en-US" w:eastAsia="zh-CN" w:bidi="ar-SA"/>
        </w:rPr>
        <w:t>人民币叁拾捌万元整/1年（¥380000.00/1年）。投标价格不能超过预控价。</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五、供应商资格要求：</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供应商需有劳务遣派经营许可证。</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供应商在中华人民共和国境内注册，具有有效的营业执照；</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 具有独立承担民事责任的能力；</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 具有良好的商业信誉和健全的财务会计制度；</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 具有履行合同所必须的设备和专业技术能力；</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 具有依法缴纳税收和社会保障资金的良好记录；</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 参加本次采购活动前三年内，在经营活动中没有重大违法记录；</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 法律、行政法规规定的其他条件。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 特定资格要求：无。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 供应商不能被列入“信用中国”(网址：https://www.creditchina.gov.cn/)失信被执行人和重大税收违法失信主体，不能被列入“中国政府采购网”(网址：</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"http://www.ccgp.gov.cn/)政府采购严重违法失信行为记录名单。"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http://www.ccgp.gov.cn/)政府采购严重违法失信行为记录名单。</w:t>
      </w:r>
      <w:r>
        <w:rPr>
          <w:rFonts w:hint="eastAsia" w:ascii="仿宋_GB2312" w:hAnsi="仿宋_GB2312" w:eastAsia="仿宋_GB2312" w:cs="仿宋_GB2312"/>
          <w:kern w:val="2"/>
          <w:sz w:val="32"/>
          <w:szCs w:val="32"/>
          <w:lang w:val="en-US" w:eastAsia="zh-CN" w:bidi="ar-SA"/>
        </w:rPr>
        <w:fldChar w:fldCharType="end"/>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11.其他要求：本项目不允许联合体响应，不得分包、转包。</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七、磋商文件的获取：</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（一）领取磋商文件需提交的资料：</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1.报名表（报名表在我院官网院务公开采购信息公告附件）；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2.提供有效的营业执照副本复印件；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3.法定代表人授权委托书原件（委托代理时必须提供，需有法定代表人签字或盖章）；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4.法定代表人及委托代理人有效身份证件复印件；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以上资料需加盖公司公章。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现场踏勘联系人及电话：唐老师 13207829222</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报名联系人及电话：万老师 13768228700</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八、投标文件要求：</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企业资质文件：营业执照、资质证书、相关人员证书等复印件加盖公章。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项目报价单：详细列出各项费用，包括主机搬迁费用、管路材料费用、施工费用、调试费用等。</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 项目实施方案：包括搬迁与布管的施工计划、技术方案、质量保障措施、工期安排等。</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 售后服务承诺：提供售后维修、保养、技术支持等服务内容与响应时间。</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九、招标时间安排：</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报名时间：自公告发布之日起至2025年1月9日，每日上午[8.00-12.00]，下午[15.00-18.00]（北京时间，法定节假日除外）。</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竞争性磋商会议时间：2025年1月10日上午10:00，开标地点为医院5号楼4楼一体化办公室。</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十、响应文件递交方式：</w:t>
      </w:r>
      <w:r>
        <w:rPr>
          <w:rFonts w:hint="eastAsia" w:ascii="仿宋_GB2312" w:hAnsi="仿宋_GB2312" w:eastAsia="仿宋_GB2312" w:cs="仿宋_GB2312"/>
          <w:kern w:val="2"/>
          <w:sz w:val="32"/>
          <w:szCs w:val="32"/>
          <w:lang w:val="en-US" w:eastAsia="zh-CN" w:bidi="ar-SA"/>
        </w:rPr>
        <w:t>于会议当日面交我院磋商小组。</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融水苗族自治县人民医院采购办</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2025年1月2日</w:t>
      </w: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pPr>
    </w:p>
    <w:p>
      <w:pPr>
        <w:pStyle w:val="2"/>
      </w:pPr>
    </w:p>
    <w:p>
      <w:pPr>
        <w:snapToGrid w:val="0"/>
        <w:spacing w:beforeLines="50" w:after="50" w:line="320" w:lineRule="exact"/>
        <w:jc w:val="both"/>
        <w:rPr>
          <w:b/>
          <w:bCs/>
          <w:color w:val="auto"/>
          <w:sz w:val="44"/>
          <w:szCs w:val="44"/>
        </w:rPr>
      </w:pPr>
    </w:p>
    <w:p>
      <w:pPr>
        <w:snapToGrid w:val="0"/>
        <w:spacing w:beforeLines="50" w:after="50" w:line="240" w:lineRule="auto"/>
        <w:jc w:val="center"/>
        <w:rPr>
          <w:rFonts w:hint="eastAsia"/>
          <w:b/>
          <w:bCs/>
          <w:color w:val="auto"/>
          <w:sz w:val="44"/>
          <w:szCs w:val="4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40"/>
          <w:szCs w:val="40"/>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40"/>
          <w:szCs w:val="40"/>
          <w:lang w:val="en-US" w:eastAsia="zh-CN" w:bidi="ar-SA"/>
        </w:rPr>
      </w:pPr>
      <w:r>
        <w:rPr>
          <w:rFonts w:hint="eastAsia" w:ascii="方正小标宋简体" w:hAnsi="方正小标宋简体" w:eastAsia="方正小标宋简体" w:cs="方正小标宋简体"/>
          <w:b w:val="0"/>
          <w:bCs w:val="0"/>
          <w:kern w:val="2"/>
          <w:sz w:val="40"/>
          <w:szCs w:val="40"/>
          <w:lang w:val="en-US" w:eastAsia="zh-CN" w:bidi="ar-SA"/>
        </w:rPr>
        <w:t>医院停车场委托管理服务项目参数需求</w:t>
      </w:r>
    </w:p>
    <w:p>
      <w:pPr>
        <w:rPr>
          <w:rFonts w:hint="eastAsia"/>
          <w:lang w:val="en-US" w:eastAsia="zh-CN"/>
        </w:rPr>
      </w:pP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根据我院业务工作开展的需要，近期拟对院内（包括宿舍区旧停车场和新建的智能停车场）停车场委托管理服务项目进行院内竞争性磋商，现将有关事项通知如下：</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一、项目名称：</w:t>
      </w:r>
      <w:r>
        <w:rPr>
          <w:rFonts w:hint="eastAsia" w:ascii="仿宋_GB2312" w:hAnsi="仿宋_GB2312" w:eastAsia="仿宋_GB2312" w:cs="仿宋_GB2312"/>
          <w:kern w:val="2"/>
          <w:sz w:val="32"/>
          <w:szCs w:val="32"/>
          <w:lang w:val="en-US" w:eastAsia="zh-CN" w:bidi="ar-SA"/>
        </w:rPr>
        <w:t>医院停车场委托管理服务项目</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二、项目编号：</w:t>
      </w:r>
      <w:r>
        <w:rPr>
          <w:rFonts w:hint="eastAsia" w:ascii="仿宋_GB2312" w:hAnsi="仿宋_GB2312" w:eastAsia="仿宋_GB2312" w:cs="仿宋_GB2312"/>
          <w:kern w:val="2"/>
          <w:sz w:val="32"/>
          <w:szCs w:val="32"/>
          <w:lang w:val="en-US" w:eastAsia="zh-CN" w:bidi="ar-SA"/>
        </w:rPr>
        <w:t>RYCG2024024</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三、采购需求：</w:t>
      </w:r>
    </w:p>
    <w:tbl>
      <w:tblPr>
        <w:tblStyle w:val="52"/>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539"/>
        <w:gridCol w:w="888"/>
        <w:gridCol w:w="540"/>
        <w:gridCol w:w="759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标的名称</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简要技术需求或服务要求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停车场管理服务</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项目为融水苗族自治县人民医院停车场（包括宿舍区旧停车场和新建的智能停车场）委托管理服务采购项目，成交供应商需全年不间断负责停车场日常运营、车辆秩序管理、车辆安全保障、医院范围内的入口和道路交通疏导、停车管理及监控系统软硬件设施的日常管理等工作。</w:t>
            </w:r>
          </w:p>
        </w:tc>
      </w:tr>
    </w:tbl>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合同签订：</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遴选1家服务商，首次合同期限1年，合同采用“1+1+1模式”最长不超过3年，合同期内如成交供应商服务无法达到医院要求，医院有权随时终止合同，相应损失均由成交供应商承担，医院不承担任何赔偿和补偿责任。</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乙方需为甲方提供以下管理服务：</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1、维护和疏导甲方医院内的交通秩序，引导车辆出入和停放，保证车辆 停放有序，确保医院内急救和消防通道畅通无阻；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2、看护车辆，若发现有人破坏或盗窃，应当及时制止或者报警；</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3、向停车人收取停车费，收取的停车费归甲方所有，当日收取的停车费须在第二日12点前结清给甲方财务室，不得截留；（如有）</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4、对医院内的摩托车、电瓶车及自行车进行规范管理，不准乱停乱放、乱充电；</w:t>
      </w:r>
      <w:bookmarkStart w:id="3" w:name="_GoBack"/>
      <w:bookmarkEnd w:id="3"/>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5、对在停车场内发生的违法、违规行为给予劝阻和制止，及时处理发生的突发事件，一旦出现停车纠纷，需及时赶赴现场维持秩序，化解纠纷；</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6、制定各类灾害事故的应急预案，保证停车场的正常工作秩序；</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7、负责停车场的清洁卫生，确保停车场内地面干净整洁,无杂物；</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8、提供 24 小时停车服务。</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甲方对乙方派遣安排的人员的要求</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1、必须是乙方本公司的员工，与乙方签订有劳动合同；</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2、每位上岗人员须配备对讲机和黄色反光背心（雨天需配备反光雨衣），统一着装，佩戴统一标志，穿戴整洁；</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3、文明执勤，礼貌待人，工作热情，反应敏捷，动作迅速，语言表达流畅，具有一定的应对和处理问题的能力；</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4、遵守甲方的各项规章制度，服从安排，听从指挥，忠于职守，爱岗敬业，具有一定的交通安全常识；</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5、能熟练使用各类消防设备，熟悉各类灾害事故的应急预案，保证停车场的正常工作秩序,防范失火、失盗、破坏等事故发生；</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6、身体健康，无残疾，男的年龄不得大于 55 周岁，不准留胡须、长发，无大面积纹身；女的年龄不得大于50周岁，上班时长发必须挽起，不得过肩，不得涂指甲油；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7、智能停车场服务总人数不得少于 11 人，24小时轮班，每班8小时。</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甲方的权利及义务：</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1、有权修改乙方的服务内容；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2、有权对乙方的管理服务工作进行监督、检查，有权提出整改意见，有 权要求乙方更换不称职的员工；</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3、无偿提供智能停车场岗亭值班室给乙方员工更换工作服，存放工作器械、资料、饮水机等日常工作用具，但乙方员工不得私自乱拉电线，使用电磁炉、电炉等大功率电器煮饭、煮宵夜、充电瓶车；</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4、承担停车场设施设备建设和维护的一切费用，包括：停车场出入口道闸及附属设备、停车场监控设备、停车场内的通风、电力、排水以及消防等设施；</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5、承担停车场日常运营所发生的水费、电费及其它运营费用；</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6、承担因机械设备、基础设施导致的安全事故所造成的财产和人身损害赔偿责任；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7、尊重乙方员工的人格尊严；</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8、不干涉乙方的招工、用工管理（除新员工的审核以外）</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9、承担因突发事件或者临时任务需实行车辆管制、处理事务而增派管制人员的加班费和误餐费；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10、按时向乙方支付管理服务费。</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乙方的权利和义务：</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1、按时获得甲方支付的管理服务费；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2、负担本公司派遣员工的工资报酬，并负责为他们缴纳各项社会保险费；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3、做好派遣员工的岗前培训、安全培训、后续培训工作，并承担相关培 训费用；</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4、负责提供派遣员工配备的对讲机、服装和其它必备物品（包括反光背 心、反光雨衣、雨鞋、电筒）；</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5、负责协助车主处理因车辆被盗、被撬、刮碰产生的纠纷；</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6、承担派遣的员工在工作中因操作不当或者管理不当而发生安全责任事 故，造成自身或者他人人身损害及财产损失的赔偿责任；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7、承担派遣员工在履行工作职责期间，因管理失误造成甲方财产损失的 赔偿责任；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8、接受甲方的监督和指导，根据甲方建议，更换不称职员工；</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9、合理安排和配置员工值班，确保医院内的交通秩序正常有序；</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10、将所有派遣员工的名单、电话和轮班员工名单报甲方后勤部备案。</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九、项目总预控价：</w:t>
      </w:r>
      <w:r>
        <w:rPr>
          <w:rFonts w:hint="eastAsia" w:ascii="仿宋_GB2312" w:hAnsi="仿宋_GB2312" w:eastAsia="仿宋_GB2312" w:cs="仿宋_GB2312"/>
          <w:kern w:val="2"/>
          <w:sz w:val="32"/>
          <w:szCs w:val="32"/>
          <w:lang w:val="en-US" w:eastAsia="zh-CN" w:bidi="ar-SA"/>
        </w:rPr>
        <w:t>人民币叁拾捌万元整/1年（¥380000.00/1年）。</w:t>
      </w:r>
    </w:p>
    <w:p>
      <w:pPr>
        <w:keepNext w:val="0"/>
        <w:keepLines w:val="0"/>
        <w:pageBreakBefore w:val="0"/>
        <w:kinsoku/>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融水苗族自治县人民医院采购办</w:t>
      </w:r>
    </w:p>
    <w:p>
      <w:pPr>
        <w:keepNext w:val="0"/>
        <w:keepLines w:val="0"/>
        <w:pageBreakBefore w:val="0"/>
        <w:kinsoku/>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2025年1月2日</w:t>
      </w:r>
    </w:p>
    <w:p>
      <w:pPr>
        <w:snapToGrid w:val="0"/>
        <w:spacing w:beforeLines="50" w:after="50" w:line="240" w:lineRule="auto"/>
        <w:jc w:val="cente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rPr>
      </w:pPr>
    </w:p>
    <w:p>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pPr>
        <w:pStyle w:val="2"/>
      </w:pP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rPr>
          <w:b/>
          <w:color w:val="auto"/>
          <w:sz w:val="24"/>
        </w:rPr>
      </w:pPr>
    </w:p>
    <w:p>
      <w:pPr>
        <w:jc w:val="center"/>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rFonts w:hint="eastAsia"/>
          <w:b/>
          <w:bCs/>
          <w:color w:val="auto"/>
          <w:sz w:val="44"/>
          <w:szCs w:val="44"/>
        </w:rPr>
      </w:pPr>
      <w:r>
        <w:rPr>
          <w:rFonts w:hint="eastAsia"/>
          <w:b/>
          <w:bCs/>
          <w:color w:val="auto"/>
          <w:sz w:val="44"/>
          <w:szCs w:val="44"/>
        </w:rPr>
        <w:t>服务承诺书</w:t>
      </w:r>
    </w:p>
    <w:p>
      <w:pPr>
        <w:pStyle w:val="2"/>
      </w:pPr>
    </w:p>
    <w:p/>
    <w:p>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snapToGrid w:val="0"/>
        <w:spacing w:line="360" w:lineRule="exact"/>
        <w:ind w:firstLine="720" w:firstLineChars="300"/>
        <w:rPr>
          <w:rFonts w:hint="eastAsia" w:ascii="仿宋" w:hAnsi="仿宋" w:eastAsia="仿宋" w:cs="仿宋"/>
          <w:color w:val="auto"/>
          <w:sz w:val="24"/>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p>
      <w:pPr>
        <w:pStyle w:val="15"/>
        <w:spacing w:after="120"/>
        <w:jc w:val="center"/>
        <w:rPr>
          <w:rFonts w:hint="eastAsia" w:ascii="宋体" w:hAnsi="宋体" w:eastAsia="宋体" w:cs="宋体"/>
          <w:b/>
          <w:bCs/>
          <w:sz w:val="44"/>
          <w:szCs w:val="44"/>
          <w:highlight w:val="none"/>
        </w:rPr>
      </w:pPr>
      <w:bookmarkStart w:id="2" w:name="_Toc24273"/>
    </w:p>
    <w:p>
      <w:pPr>
        <w:pStyle w:val="15"/>
        <w:spacing w:after="12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评审办法及评审标准</w:t>
      </w:r>
      <w:bookmarkEnd w:id="2"/>
    </w:p>
    <w:p>
      <w:pPr>
        <w:tabs>
          <w:tab w:val="left" w:pos="2835"/>
        </w:tabs>
        <w:spacing w:line="360" w:lineRule="auto"/>
        <w:ind w:firstLine="420"/>
        <w:rPr>
          <w:rFonts w:hint="eastAsia" w:ascii="宋体" w:hAnsi="宋体" w:cs="宋体"/>
          <w:b/>
          <w:color w:val="auto"/>
          <w:sz w:val="28"/>
          <w:szCs w:val="28"/>
          <w:highlight w:val="none"/>
        </w:rPr>
      </w:pPr>
      <w:r>
        <w:rPr>
          <w:rFonts w:hint="eastAsia" w:ascii="宋体" w:hAnsi="宋体" w:cs="宋体"/>
          <w:b/>
          <w:color w:val="auto"/>
          <w:sz w:val="28"/>
          <w:szCs w:val="28"/>
          <w:highlight w:val="none"/>
        </w:rPr>
        <w:t>一、评审原则：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（一）磋商小组的构成：</w:t>
      </w:r>
      <w:r>
        <w:rPr>
          <w:rFonts w:hint="eastAsia" w:ascii="宋体" w:hAnsi="宋体" w:cs="宋体"/>
          <w:bCs/>
          <w:color w:val="auto"/>
          <w:sz w:val="24"/>
          <w:highlight w:val="none"/>
        </w:rPr>
        <w:t>本磋商采购项目的磋商小组成员分别由依法组成的专家、采购人代表共3人构成，其中专家人数不少于成员总数的三分之二。</w:t>
      </w:r>
      <w:r>
        <w:rPr>
          <w:rFonts w:hint="eastAsia" w:ascii="宋体" w:hAnsi="宋体" w:cs="宋体"/>
          <w:color w:val="auto"/>
          <w:sz w:val="24"/>
          <w:highlight w:val="none"/>
        </w:rPr>
        <w:t>评审专家从</w:t>
      </w:r>
      <w:r>
        <w:rPr>
          <w:rFonts w:hint="eastAsia" w:ascii="宋体" w:hAnsi="宋体" w:cs="宋体"/>
          <w:color w:val="auto"/>
          <w:sz w:val="24"/>
          <w:highlight w:val="none"/>
          <w:lang w:val="en-US" w:eastAsia="zh-CN"/>
        </w:rPr>
        <w:t>融水苗族自治县人民医院</w:t>
      </w:r>
      <w:r>
        <w:rPr>
          <w:rFonts w:hint="eastAsia" w:ascii="宋体" w:hAnsi="宋体" w:cs="宋体"/>
          <w:color w:val="auto"/>
          <w:sz w:val="24"/>
          <w:highlight w:val="none"/>
        </w:rPr>
        <w:t>采购专家库内相关专业的专家名单中随机抽取。</w:t>
      </w:r>
    </w:p>
    <w:p>
      <w:pPr>
        <w:spacing w:line="360" w:lineRule="auto"/>
        <w:ind w:firstLine="480" w:firstLineChars="200"/>
        <w:rPr>
          <w:rFonts w:hint="eastAsia" w:ascii="宋体" w:hAnsi="宋体" w:cs="宋体"/>
          <w:b/>
          <w:color w:val="auto"/>
          <w:sz w:val="28"/>
          <w:szCs w:val="28"/>
          <w:highlight w:val="none"/>
        </w:rPr>
      </w:pPr>
      <w:r>
        <w:rPr>
          <w:rFonts w:hint="eastAsia" w:ascii="宋体" w:hAnsi="宋体" w:cs="宋体"/>
          <w:color w:val="auto"/>
          <w:sz w:val="24"/>
          <w:highlight w:val="none"/>
        </w:rPr>
        <w:t>（二）评审依据：以磋商文件、响应文件为评审依据。</w:t>
      </w:r>
    </w:p>
    <w:p>
      <w:pPr>
        <w:tabs>
          <w:tab w:val="left" w:pos="2835"/>
        </w:tabs>
        <w:spacing w:line="360" w:lineRule="auto"/>
        <w:ind w:firstLine="420"/>
        <w:rPr>
          <w:rFonts w:hint="eastAsia" w:ascii="宋体" w:hAnsi="宋体" w:cs="宋体"/>
          <w:b/>
          <w:sz w:val="28"/>
          <w:szCs w:val="28"/>
        </w:rPr>
      </w:pPr>
      <w:r>
        <w:rPr>
          <w:rFonts w:hint="eastAsia" w:ascii="宋体" w:hAnsi="宋体" w:cs="宋体"/>
          <w:b/>
          <w:sz w:val="28"/>
          <w:szCs w:val="28"/>
        </w:rPr>
        <w:t>二、评定方法：</w:t>
      </w:r>
    </w:p>
    <w:p>
      <w:pPr>
        <w:pStyle w:val="27"/>
        <w:tabs>
          <w:tab w:val="left" w:pos="180"/>
        </w:tabs>
        <w:spacing w:line="360" w:lineRule="auto"/>
        <w:ind w:left="-2" w:leftChars="-1" w:firstLine="480" w:firstLineChars="200"/>
        <w:rPr>
          <w:rFonts w:hint="eastAsia" w:hAnsi="宋体" w:cs="宋体"/>
          <w:sz w:val="24"/>
        </w:rPr>
      </w:pPr>
      <w:r>
        <w:rPr>
          <w:rFonts w:hint="eastAsia" w:hAnsi="宋体" w:cs="宋体"/>
          <w:sz w:val="24"/>
        </w:rPr>
        <w:t>（一）对进入详评的，采用百分制综合评分法（按四舍五入取至百分位）。</w:t>
      </w:r>
    </w:p>
    <w:p>
      <w:pPr>
        <w:pStyle w:val="27"/>
        <w:tabs>
          <w:tab w:val="left" w:pos="180"/>
        </w:tabs>
        <w:spacing w:line="360" w:lineRule="auto"/>
        <w:ind w:left="-2" w:leftChars="-1" w:firstLine="482" w:firstLineChars="200"/>
        <w:rPr>
          <w:rFonts w:hint="eastAsia" w:hAnsi="宋体" w:cs="宋体"/>
          <w:b/>
          <w:bCs/>
          <w:sz w:val="24"/>
        </w:rPr>
      </w:pPr>
      <w:r>
        <w:rPr>
          <w:rFonts w:hint="eastAsia" w:hAnsi="宋体" w:cs="宋体"/>
          <w:b/>
          <w:bCs/>
          <w:sz w:val="24"/>
        </w:rPr>
        <w:t>（二）评分细则：</w:t>
      </w:r>
    </w:p>
    <w:tbl>
      <w:tblPr>
        <w:tblStyle w:val="52"/>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95"/>
        <w:gridCol w:w="5615"/>
        <w:gridCol w:w="1350"/>
        <w:gridCol w:w="1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序号</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评分项目</w:t>
            </w:r>
          </w:p>
        </w:tc>
        <w:tc>
          <w:tcPr>
            <w:tcW w:w="561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评分标准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分值</w:t>
            </w:r>
          </w:p>
        </w:tc>
        <w:tc>
          <w:tcPr>
            <w:tcW w:w="1170" w:type="dxa"/>
            <w:noWrap w:val="0"/>
            <w:vAlign w:val="center"/>
          </w:tcPr>
          <w:p>
            <w:pPr>
              <w:spacing w:line="360" w:lineRule="auto"/>
              <w:jc w:val="center"/>
              <w:rPr>
                <w:rFonts w:hint="eastAsia" w:ascii="宋体" w:hAnsi="宋体" w:eastAsia="宋体" w:cs="宋体"/>
                <w:bCs/>
                <w:sz w:val="24"/>
                <w:lang w:val="en-US" w:eastAsia="zh-CN"/>
              </w:rPr>
            </w:pPr>
            <w:r>
              <w:rPr>
                <w:rFonts w:hint="eastAsia" w:ascii="宋体" w:hAnsi="宋体" w:cs="宋体"/>
                <w:bCs/>
                <w:sz w:val="24"/>
                <w:lang w:val="en-US" w:eastAsia="zh-CN"/>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5"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1</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报价</w:t>
            </w:r>
          </w:p>
        </w:tc>
        <w:tc>
          <w:tcPr>
            <w:tcW w:w="5615" w:type="dxa"/>
            <w:noWrap w:val="0"/>
            <w:vAlign w:val="center"/>
          </w:tcPr>
          <w:p>
            <w:pPr>
              <w:spacing w:line="430" w:lineRule="exact"/>
              <w:rPr>
                <w:rFonts w:hint="eastAsia" w:ascii="宋体" w:hAnsi="宋体" w:cs="宋体"/>
                <w:kern w:val="0"/>
                <w:sz w:val="24"/>
              </w:rPr>
            </w:pPr>
            <w:r>
              <w:rPr>
                <w:rFonts w:hint="eastAsia" w:ascii="宋体" w:hAnsi="宋体" w:cs="宋体"/>
                <w:kern w:val="0"/>
                <w:sz w:val="24"/>
              </w:rPr>
              <w:t>1.评审报价＝最后报价。</w:t>
            </w:r>
          </w:p>
          <w:p>
            <w:pPr>
              <w:spacing w:line="430" w:lineRule="exact"/>
              <w:rPr>
                <w:rFonts w:hint="eastAsia" w:ascii="宋体" w:hAnsi="宋体" w:cs="宋体"/>
                <w:kern w:val="0"/>
                <w:sz w:val="24"/>
              </w:rPr>
            </w:pPr>
            <w:r>
              <w:rPr>
                <w:rFonts w:hint="eastAsia" w:ascii="宋体" w:hAnsi="宋体" w:cs="宋体"/>
                <w:kern w:val="0"/>
                <w:sz w:val="24"/>
              </w:rPr>
              <w:t>2.以进入比较与评价环节的最低的评审报价为基准价，基准价得分为10分。</w:t>
            </w:r>
          </w:p>
          <w:p>
            <w:pPr>
              <w:spacing w:line="430" w:lineRule="exact"/>
              <w:rPr>
                <w:rFonts w:hint="eastAsia" w:ascii="宋体" w:hAnsi="宋体" w:cs="宋体"/>
                <w:sz w:val="24"/>
              </w:rPr>
            </w:pPr>
            <w:r>
              <w:rPr>
                <w:rFonts w:hint="eastAsia" w:ascii="宋体" w:hAnsi="宋体" w:cs="宋体"/>
                <w:kern w:val="0"/>
                <w:sz w:val="24"/>
              </w:rPr>
              <w:t>3.价格分计算公式：报价得分=（基准价/最后报价）×</w:t>
            </w:r>
            <w:r>
              <w:rPr>
                <w:rFonts w:hint="eastAsia" w:ascii="宋体" w:hAnsi="宋体" w:cs="宋体"/>
                <w:kern w:val="0"/>
                <w:sz w:val="24"/>
                <w:lang w:val="en-US" w:eastAsia="zh-CN"/>
              </w:rPr>
              <w:t>3</w:t>
            </w:r>
            <w:r>
              <w:rPr>
                <w:rFonts w:hint="eastAsia" w:ascii="宋体" w:hAnsi="宋体" w:cs="宋体"/>
                <w:kern w:val="0"/>
                <w:sz w:val="24"/>
              </w:rPr>
              <w:t>0分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3</w:t>
            </w:r>
            <w:r>
              <w:rPr>
                <w:rFonts w:hint="eastAsia" w:ascii="宋体" w:hAnsi="宋体" w:cs="宋体"/>
                <w:bCs/>
                <w:sz w:val="24"/>
              </w:rPr>
              <w:t>0分（满分</w:t>
            </w:r>
            <w:r>
              <w:rPr>
                <w:rFonts w:hint="eastAsia" w:ascii="宋体" w:hAnsi="宋体" w:cs="宋体"/>
                <w:bCs/>
                <w:sz w:val="24"/>
                <w:lang w:val="en-US" w:eastAsia="zh-CN"/>
              </w:rPr>
              <w:t>3</w:t>
            </w:r>
            <w:r>
              <w:rPr>
                <w:rFonts w:hint="eastAsia" w:ascii="宋体" w:hAnsi="宋体" w:cs="宋体"/>
                <w:bCs/>
                <w:sz w:val="24"/>
              </w:rPr>
              <w:t>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 w:hRule="atLeast"/>
        </w:trPr>
        <w:tc>
          <w:tcPr>
            <w:tcW w:w="690"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2</w:t>
            </w:r>
          </w:p>
        </w:tc>
        <w:tc>
          <w:tcPr>
            <w:tcW w:w="1095"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技术分</w:t>
            </w:r>
          </w:p>
        </w:tc>
        <w:tc>
          <w:tcPr>
            <w:tcW w:w="5615"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评审因素</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技术分（满分</w:t>
            </w:r>
            <w:r>
              <w:rPr>
                <w:rFonts w:hint="eastAsia" w:ascii="宋体" w:hAnsi="宋体" w:cs="宋体"/>
                <w:bCs/>
                <w:sz w:val="24"/>
                <w:lang w:val="en-US" w:eastAsia="zh-CN"/>
              </w:rPr>
              <w:t>52</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5"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2.1</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服务方案</w:t>
            </w:r>
            <w:r>
              <w:rPr>
                <w:rFonts w:hint="eastAsia" w:ascii="宋体" w:hAnsi="宋体" w:cs="宋体"/>
                <w:bCs/>
                <w:sz w:val="24"/>
                <w:lang w:val="en-US" w:eastAsia="zh-CN"/>
              </w:rPr>
              <w:t>与服务承诺</w:t>
            </w:r>
            <w:r>
              <w:rPr>
                <w:rFonts w:hint="eastAsia" w:ascii="宋体" w:hAnsi="宋体" w:cs="宋体"/>
                <w:bCs/>
                <w:sz w:val="24"/>
              </w:rPr>
              <w:t>分（满分24分）</w:t>
            </w:r>
          </w:p>
        </w:tc>
        <w:tc>
          <w:tcPr>
            <w:tcW w:w="5615" w:type="dxa"/>
            <w:noWrap w:val="0"/>
            <w:vAlign w:val="top"/>
          </w:tcPr>
          <w:p>
            <w:pPr>
              <w:pStyle w:val="27"/>
              <w:spacing w:line="400" w:lineRule="exact"/>
              <w:ind w:firstLine="480" w:firstLineChars="200"/>
              <w:rPr>
                <w:rFonts w:hint="eastAsia" w:hAnsi="宋体" w:cs="宋体"/>
                <w:sz w:val="24"/>
              </w:rPr>
            </w:pPr>
            <w:r>
              <w:rPr>
                <w:rFonts w:hint="eastAsia" w:hAnsi="宋体" w:cs="宋体"/>
                <w:sz w:val="24"/>
              </w:rPr>
              <w:t>一档（6分）：供应商提出的服务方案</w:t>
            </w:r>
            <w:r>
              <w:rPr>
                <w:rFonts w:hint="eastAsia" w:hAnsi="宋体" w:cs="宋体"/>
                <w:sz w:val="24"/>
                <w:lang w:val="en-US" w:eastAsia="zh-CN"/>
              </w:rPr>
              <w:t>与承诺</w:t>
            </w:r>
            <w:r>
              <w:rPr>
                <w:rFonts w:hint="eastAsia" w:hAnsi="宋体" w:cs="宋体"/>
                <w:sz w:val="24"/>
              </w:rPr>
              <w:t>一般，有部分人员配置、管理方案，仅能基本满足项目需求；</w:t>
            </w:r>
          </w:p>
          <w:p>
            <w:pPr>
              <w:pStyle w:val="27"/>
              <w:spacing w:line="400" w:lineRule="exact"/>
              <w:ind w:firstLine="480" w:firstLineChars="200"/>
              <w:rPr>
                <w:rFonts w:hint="eastAsia" w:hAnsi="宋体" w:cs="宋体"/>
                <w:sz w:val="24"/>
              </w:rPr>
            </w:pPr>
            <w:r>
              <w:rPr>
                <w:rFonts w:hint="eastAsia" w:hAnsi="宋体" w:cs="宋体"/>
                <w:sz w:val="24"/>
              </w:rPr>
              <w:t>二档（12分）：供应商提出的服务方案</w:t>
            </w:r>
            <w:r>
              <w:rPr>
                <w:rFonts w:hint="eastAsia" w:hAnsi="宋体" w:cs="宋体"/>
                <w:sz w:val="24"/>
                <w:lang w:val="en-US" w:eastAsia="zh-CN"/>
              </w:rPr>
              <w:t>与承诺</w:t>
            </w:r>
            <w:r>
              <w:rPr>
                <w:rFonts w:hint="eastAsia" w:hAnsi="宋体" w:cs="宋体"/>
                <w:sz w:val="24"/>
              </w:rPr>
              <w:t>中提出对本项目服务要求的理解、人员配置、管理方案完善、日常服务流程可行性高，日常技术培训方案完整等内容描述较合理、可行；</w:t>
            </w:r>
          </w:p>
          <w:p>
            <w:pPr>
              <w:pStyle w:val="27"/>
              <w:spacing w:line="400" w:lineRule="exact"/>
              <w:ind w:firstLine="480" w:firstLineChars="200"/>
              <w:rPr>
                <w:rFonts w:hint="eastAsia" w:hAnsi="宋体" w:cs="宋体"/>
                <w:sz w:val="24"/>
              </w:rPr>
            </w:pPr>
            <w:r>
              <w:rPr>
                <w:rFonts w:hint="eastAsia" w:hAnsi="宋体" w:cs="宋体"/>
                <w:sz w:val="24"/>
              </w:rPr>
              <w:t>三档（18分）：</w:t>
            </w:r>
          </w:p>
          <w:p>
            <w:pPr>
              <w:pStyle w:val="27"/>
              <w:spacing w:line="400" w:lineRule="exact"/>
              <w:ind w:firstLine="480" w:firstLineChars="200"/>
              <w:rPr>
                <w:rFonts w:hint="eastAsia" w:hAnsi="宋体" w:cs="宋体"/>
                <w:sz w:val="24"/>
              </w:rPr>
            </w:pPr>
            <w:r>
              <w:rPr>
                <w:rFonts w:hint="eastAsia" w:hAnsi="宋体" w:cs="宋体"/>
                <w:sz w:val="24"/>
              </w:rPr>
              <w:t>供应商提出的服务方案</w:t>
            </w:r>
            <w:r>
              <w:rPr>
                <w:rFonts w:hint="eastAsia" w:hAnsi="宋体" w:cs="宋体"/>
                <w:sz w:val="24"/>
                <w:lang w:val="en-US" w:eastAsia="zh-CN"/>
              </w:rPr>
              <w:t>与承诺</w:t>
            </w:r>
            <w:r>
              <w:rPr>
                <w:rFonts w:hint="eastAsia" w:hAnsi="宋体" w:cs="宋体"/>
                <w:sz w:val="24"/>
              </w:rPr>
              <w:t>中提出对本项目服务要求的理解、人员配置、管理方案完善、日常服务流程可行性高，日常技术培训方案完整等内容描述较合理、可行性高，安全保证方案、应急预案考虑周全等；</w:t>
            </w:r>
          </w:p>
          <w:p>
            <w:pPr>
              <w:pStyle w:val="27"/>
              <w:spacing w:line="400" w:lineRule="exact"/>
              <w:ind w:firstLine="480" w:firstLineChars="200"/>
              <w:rPr>
                <w:rFonts w:hint="eastAsia" w:hAnsi="宋体" w:cs="宋体"/>
                <w:sz w:val="24"/>
              </w:rPr>
            </w:pPr>
            <w:r>
              <w:rPr>
                <w:rFonts w:hint="eastAsia" w:hAnsi="宋体" w:cs="宋体"/>
                <w:sz w:val="24"/>
              </w:rPr>
              <w:t>四档（24分）：供应商提出的服务方案</w:t>
            </w:r>
            <w:r>
              <w:rPr>
                <w:rFonts w:hint="eastAsia" w:hAnsi="宋体" w:cs="宋体"/>
                <w:sz w:val="24"/>
                <w:lang w:val="en-US" w:eastAsia="zh-CN"/>
              </w:rPr>
              <w:t>与承诺</w:t>
            </w:r>
            <w:r>
              <w:rPr>
                <w:rFonts w:hint="eastAsia" w:hAnsi="宋体" w:cs="宋体"/>
                <w:sz w:val="24"/>
              </w:rPr>
              <w:t>中在第一至第三档的基础上能结合本项目实际情况作出对应响应的，或者提出相应的增值服务的。</w:t>
            </w:r>
          </w:p>
          <w:p>
            <w:pPr>
              <w:pStyle w:val="27"/>
              <w:spacing w:line="400" w:lineRule="exact"/>
              <w:ind w:firstLine="480" w:firstLineChars="200"/>
              <w:rPr>
                <w:rFonts w:hint="eastAsia" w:hAnsi="宋体" w:cs="宋体"/>
                <w:sz w:val="24"/>
              </w:rPr>
            </w:pPr>
            <w:r>
              <w:rPr>
                <w:rFonts w:hint="eastAsia" w:hAnsi="宋体" w:cs="宋体"/>
                <w:bCs/>
                <w:sz w:val="24"/>
              </w:rPr>
              <w:t>未提供对应方案的按0分计。</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0-24分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5" w:hRule="atLeast"/>
        </w:trPr>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2.</w:t>
            </w:r>
            <w:r>
              <w:rPr>
                <w:rFonts w:hint="eastAsia" w:ascii="宋体" w:hAnsi="宋体" w:cs="宋体"/>
                <w:bCs/>
                <w:sz w:val="24"/>
                <w:lang w:val="en-US" w:eastAsia="zh-CN"/>
              </w:rPr>
              <w:t>2</w:t>
            </w:r>
          </w:p>
        </w:tc>
        <w:tc>
          <w:tcPr>
            <w:tcW w:w="1095" w:type="dxa"/>
            <w:noWrap w:val="0"/>
            <w:vAlign w:val="center"/>
          </w:tcPr>
          <w:p>
            <w:pPr>
              <w:spacing w:line="360" w:lineRule="auto"/>
              <w:jc w:val="center"/>
              <w:rPr>
                <w:rFonts w:hint="eastAsia" w:ascii="宋体" w:hAnsi="宋体" w:cs="宋体"/>
                <w:sz w:val="24"/>
              </w:rPr>
            </w:pPr>
            <w:r>
              <w:rPr>
                <w:rFonts w:hint="eastAsia" w:ascii="宋体" w:hAnsi="宋体" w:cs="宋体"/>
                <w:sz w:val="24"/>
              </w:rPr>
              <w:t>规章制度分（15分）</w:t>
            </w:r>
          </w:p>
        </w:tc>
        <w:tc>
          <w:tcPr>
            <w:tcW w:w="5615" w:type="dxa"/>
            <w:noWrap w:val="0"/>
            <w:vAlign w:val="top"/>
          </w:tcPr>
          <w:p>
            <w:pPr>
              <w:pStyle w:val="27"/>
              <w:spacing w:line="400" w:lineRule="exact"/>
              <w:ind w:firstLine="480" w:firstLineChars="200"/>
              <w:rPr>
                <w:rFonts w:hint="eastAsia" w:hAnsi="宋体" w:cs="宋体"/>
                <w:sz w:val="24"/>
              </w:rPr>
            </w:pPr>
            <w:r>
              <w:rPr>
                <w:rFonts w:hint="eastAsia" w:hAnsi="宋体" w:cs="宋体"/>
                <w:sz w:val="24"/>
              </w:rPr>
              <w:t>磋商小组根据供应商提供的规章制度（岗位职责、岗位责任制、人员考勤和录用制度、社会保险管理、日常管理和劳动纪律、企业文化管理、突发事件应急预案等）进行综合评分。</w:t>
            </w:r>
          </w:p>
          <w:p>
            <w:pPr>
              <w:pStyle w:val="27"/>
              <w:spacing w:line="400" w:lineRule="exact"/>
              <w:ind w:firstLine="480" w:firstLineChars="200"/>
              <w:rPr>
                <w:rFonts w:hint="eastAsia" w:hAnsi="宋体" w:cs="宋体"/>
                <w:sz w:val="24"/>
              </w:rPr>
            </w:pPr>
            <w:r>
              <w:rPr>
                <w:rFonts w:hint="eastAsia" w:hAnsi="宋体" w:cs="宋体"/>
                <w:sz w:val="24"/>
              </w:rPr>
              <w:t>一档（5分）：对项目认识不足，规章制度思路不清晰，措施不具体。</w:t>
            </w:r>
          </w:p>
          <w:p>
            <w:pPr>
              <w:pStyle w:val="27"/>
              <w:spacing w:line="400" w:lineRule="exact"/>
              <w:ind w:firstLine="480" w:firstLineChars="200"/>
              <w:rPr>
                <w:rFonts w:hint="eastAsia" w:hAnsi="宋体" w:cs="宋体"/>
                <w:sz w:val="24"/>
              </w:rPr>
            </w:pPr>
            <w:r>
              <w:rPr>
                <w:rFonts w:hint="eastAsia" w:hAnsi="宋体" w:cs="宋体"/>
                <w:sz w:val="24"/>
              </w:rPr>
              <w:t xml:space="preserve">二档（10分）：对项目认识充分，规章制度表达清晰、完整，符合规范要求。                                                      </w:t>
            </w:r>
          </w:p>
          <w:p>
            <w:pPr>
              <w:pStyle w:val="27"/>
              <w:spacing w:line="400" w:lineRule="exact"/>
              <w:ind w:firstLine="480" w:firstLineChars="200"/>
              <w:rPr>
                <w:rFonts w:hint="eastAsia" w:hAnsi="宋体" w:cs="宋体"/>
                <w:sz w:val="24"/>
              </w:rPr>
            </w:pPr>
            <w:r>
              <w:rPr>
                <w:rFonts w:hint="eastAsia" w:hAnsi="宋体" w:cs="宋体"/>
                <w:sz w:val="24"/>
              </w:rPr>
              <w:t>三档（15分）：对项目认识充分，总体规章制度表述清晰、严瑾、完整，制度先进、有效、成熟且依据项目具体情况采取有针对性的规章制度，符合规范要求，可行性强。</w:t>
            </w:r>
          </w:p>
          <w:p>
            <w:pPr>
              <w:pStyle w:val="27"/>
              <w:spacing w:line="400" w:lineRule="exact"/>
              <w:ind w:firstLine="480" w:firstLineChars="200"/>
              <w:rPr>
                <w:rFonts w:hint="eastAsia" w:hAnsi="宋体" w:cs="宋体"/>
                <w:sz w:val="24"/>
              </w:rPr>
            </w:pPr>
            <w:r>
              <w:rPr>
                <w:rFonts w:hint="eastAsia" w:hAnsi="宋体" w:cs="宋体"/>
                <w:bCs/>
                <w:sz w:val="24"/>
              </w:rPr>
              <w:t>未提供对应方案的按0分计。</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0-15分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0" w:hRule="atLeast"/>
        </w:trPr>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2.</w:t>
            </w:r>
            <w:r>
              <w:rPr>
                <w:rFonts w:hint="eastAsia" w:ascii="宋体" w:hAnsi="宋体" w:cs="宋体"/>
                <w:bCs/>
                <w:sz w:val="24"/>
                <w:lang w:val="en-US" w:eastAsia="zh-CN"/>
              </w:rPr>
              <w:t>3</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拟投入人员情况分（满分13分）</w:t>
            </w:r>
          </w:p>
        </w:tc>
        <w:tc>
          <w:tcPr>
            <w:tcW w:w="5615" w:type="dxa"/>
            <w:noWrap w:val="0"/>
            <w:vAlign w:val="top"/>
          </w:tcPr>
          <w:p>
            <w:pPr>
              <w:spacing w:line="400" w:lineRule="exact"/>
              <w:jc w:val="left"/>
              <w:rPr>
                <w:rFonts w:hint="eastAsia" w:ascii="宋体" w:hAnsi="宋体" w:cs="宋体"/>
                <w:sz w:val="24"/>
              </w:rPr>
            </w:pPr>
            <w:r>
              <w:rPr>
                <w:rFonts w:hint="eastAsia" w:ascii="宋体" w:hAnsi="宋体" w:cs="宋体"/>
                <w:sz w:val="24"/>
              </w:rPr>
              <w:t>拟投入人数满足采购要求，且满足以下条件的相应得分：</w:t>
            </w:r>
          </w:p>
          <w:p>
            <w:pPr>
              <w:spacing w:line="400" w:lineRule="exact"/>
              <w:ind w:firstLine="480" w:firstLineChars="200"/>
              <w:jc w:val="left"/>
              <w:rPr>
                <w:rFonts w:hint="eastAsia" w:ascii="宋体" w:hAnsi="宋体" w:cs="宋体"/>
                <w:sz w:val="24"/>
              </w:rPr>
            </w:pPr>
            <w:r>
              <w:rPr>
                <w:rFonts w:hint="eastAsia" w:ascii="宋体" w:hAnsi="宋体" w:cs="宋体"/>
                <w:sz w:val="24"/>
              </w:rPr>
              <w:t>2.4.1拟投入的</w:t>
            </w:r>
            <w:r>
              <w:rPr>
                <w:rFonts w:hint="eastAsia" w:ascii="宋体" w:hAnsi="宋体"/>
                <w:sz w:val="24"/>
              </w:rPr>
              <w:t>劳务人员有3人持有身份证、健康证、保安证，得3分</w:t>
            </w:r>
            <w:r>
              <w:rPr>
                <w:rFonts w:hint="eastAsia" w:ascii="宋体" w:hAnsi="宋体" w:cs="宋体"/>
                <w:sz w:val="24"/>
              </w:rPr>
              <w:t>；</w:t>
            </w:r>
          </w:p>
          <w:p>
            <w:pPr>
              <w:spacing w:line="400" w:lineRule="exact"/>
              <w:ind w:firstLine="480" w:firstLineChars="200"/>
              <w:jc w:val="left"/>
              <w:rPr>
                <w:rFonts w:hint="eastAsia" w:ascii="宋体" w:hAnsi="宋体" w:cs="宋体"/>
                <w:sz w:val="24"/>
              </w:rPr>
            </w:pPr>
            <w:r>
              <w:rPr>
                <w:rFonts w:hint="eastAsia" w:ascii="宋体" w:hAnsi="宋体" w:cs="宋体"/>
                <w:sz w:val="24"/>
              </w:rPr>
              <w:t>2.4.2拟投入的</w:t>
            </w:r>
            <w:r>
              <w:rPr>
                <w:rFonts w:hint="eastAsia" w:ascii="宋体" w:hAnsi="宋体"/>
                <w:sz w:val="24"/>
              </w:rPr>
              <w:t>劳务人员有5人持有身份证、健康证、保安证的</w:t>
            </w:r>
            <w:r>
              <w:rPr>
                <w:rFonts w:hint="eastAsia" w:ascii="宋体" w:hAnsi="宋体" w:cs="宋体"/>
                <w:sz w:val="24"/>
              </w:rPr>
              <w:t>得5分；</w:t>
            </w:r>
          </w:p>
          <w:p>
            <w:pPr>
              <w:spacing w:line="400" w:lineRule="exact"/>
              <w:ind w:firstLine="480" w:firstLineChars="200"/>
              <w:jc w:val="left"/>
              <w:rPr>
                <w:rFonts w:hint="eastAsia" w:ascii="宋体" w:hAnsi="宋体" w:cs="宋体"/>
                <w:sz w:val="24"/>
              </w:rPr>
            </w:pPr>
            <w:r>
              <w:rPr>
                <w:rFonts w:hint="eastAsia" w:ascii="宋体" w:hAnsi="宋体" w:cs="宋体"/>
                <w:sz w:val="24"/>
              </w:rPr>
              <w:t>2.4.4拟投入的</w:t>
            </w:r>
            <w:r>
              <w:rPr>
                <w:rFonts w:hint="eastAsia" w:ascii="宋体" w:hAnsi="宋体"/>
                <w:sz w:val="24"/>
              </w:rPr>
              <w:t>劳务人员有8人持有身份证、健康证、保安证的</w:t>
            </w:r>
            <w:r>
              <w:rPr>
                <w:rFonts w:hint="eastAsia" w:ascii="宋体" w:hAnsi="宋体" w:cs="宋体"/>
                <w:sz w:val="24"/>
              </w:rPr>
              <w:t>得10分；</w:t>
            </w:r>
          </w:p>
          <w:p>
            <w:pPr>
              <w:spacing w:line="400" w:lineRule="exact"/>
              <w:ind w:firstLine="480" w:firstLineChars="200"/>
              <w:jc w:val="left"/>
              <w:rPr>
                <w:rFonts w:hint="eastAsia" w:ascii="宋体" w:hAnsi="宋体" w:cs="宋体"/>
                <w:sz w:val="24"/>
              </w:rPr>
            </w:pPr>
            <w:r>
              <w:rPr>
                <w:rFonts w:hint="eastAsia" w:ascii="宋体" w:hAnsi="宋体" w:cs="宋体"/>
                <w:sz w:val="24"/>
              </w:rPr>
              <w:t>2.4.5拟投入的</w:t>
            </w:r>
            <w:r>
              <w:rPr>
                <w:rFonts w:hint="eastAsia" w:ascii="宋体" w:hAnsi="宋体"/>
                <w:sz w:val="24"/>
              </w:rPr>
              <w:t>劳务人员有11人持有身份证、健康证、保安证的</w:t>
            </w:r>
            <w:r>
              <w:rPr>
                <w:rFonts w:hint="eastAsia" w:ascii="宋体" w:hAnsi="宋体" w:cs="宋体"/>
                <w:sz w:val="24"/>
              </w:rPr>
              <w:t>得13分；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0-13分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widowControl/>
              <w:spacing w:line="360" w:lineRule="auto"/>
              <w:jc w:val="center"/>
              <w:rPr>
                <w:rFonts w:hint="eastAsia" w:ascii="宋体" w:hAnsi="宋体" w:cs="宋体"/>
                <w:sz w:val="24"/>
              </w:rPr>
            </w:pPr>
            <w:r>
              <w:rPr>
                <w:rFonts w:hint="eastAsia" w:ascii="宋体" w:hAnsi="宋体" w:cs="宋体"/>
                <w:kern w:val="0"/>
                <w:sz w:val="24"/>
              </w:rPr>
              <w:t>3</w:t>
            </w:r>
          </w:p>
        </w:tc>
        <w:tc>
          <w:tcPr>
            <w:tcW w:w="1095" w:type="dxa"/>
            <w:noWrap w:val="0"/>
            <w:vAlign w:val="center"/>
          </w:tcPr>
          <w:p>
            <w:pPr>
              <w:widowControl/>
              <w:spacing w:line="360" w:lineRule="auto"/>
              <w:jc w:val="center"/>
              <w:rPr>
                <w:rFonts w:hint="eastAsia" w:ascii="宋体" w:hAnsi="宋体" w:cs="宋体"/>
                <w:sz w:val="24"/>
              </w:rPr>
            </w:pPr>
            <w:r>
              <w:rPr>
                <w:rFonts w:hint="eastAsia" w:ascii="宋体" w:hAnsi="宋体" w:cs="宋体"/>
                <w:sz w:val="24"/>
              </w:rPr>
              <w:t>商务分</w:t>
            </w:r>
          </w:p>
        </w:tc>
        <w:tc>
          <w:tcPr>
            <w:tcW w:w="5615" w:type="dxa"/>
            <w:noWrap w:val="0"/>
            <w:vAlign w:val="center"/>
          </w:tcPr>
          <w:p>
            <w:pPr>
              <w:spacing w:line="360" w:lineRule="auto"/>
              <w:ind w:firstLine="480" w:firstLineChars="200"/>
              <w:jc w:val="center"/>
              <w:rPr>
                <w:rFonts w:hint="eastAsia" w:ascii="宋体" w:hAnsi="宋体" w:cs="宋体"/>
                <w:sz w:val="24"/>
              </w:rPr>
            </w:pPr>
            <w:r>
              <w:rPr>
                <w:rFonts w:hint="eastAsia" w:ascii="宋体" w:hAnsi="宋体" w:cs="宋体"/>
                <w:kern w:val="0"/>
                <w:sz w:val="24"/>
              </w:rPr>
              <w:t>评审因素</w:t>
            </w:r>
          </w:p>
        </w:tc>
        <w:tc>
          <w:tcPr>
            <w:tcW w:w="1350" w:type="dxa"/>
            <w:noWrap w:val="0"/>
            <w:vAlign w:val="center"/>
          </w:tcPr>
          <w:p>
            <w:pPr>
              <w:spacing w:line="360" w:lineRule="auto"/>
              <w:jc w:val="center"/>
              <w:rPr>
                <w:rFonts w:hint="eastAsia" w:ascii="宋体" w:hAnsi="宋体" w:cs="宋体"/>
                <w:sz w:val="24"/>
              </w:rPr>
            </w:pPr>
            <w:r>
              <w:rPr>
                <w:rFonts w:hint="eastAsia" w:ascii="宋体" w:hAnsi="宋体" w:cs="宋体"/>
                <w:sz w:val="24"/>
              </w:rPr>
              <w:t>商务分（满分1</w:t>
            </w:r>
            <w:r>
              <w:rPr>
                <w:rFonts w:hint="eastAsia" w:ascii="宋体" w:hAnsi="宋体" w:cs="宋体"/>
                <w:sz w:val="24"/>
                <w:lang w:val="en-US" w:eastAsia="zh-CN"/>
              </w:rPr>
              <w:t>8</w:t>
            </w:r>
            <w:r>
              <w:rPr>
                <w:rFonts w:hint="eastAsia" w:ascii="宋体" w:hAnsi="宋体" w:cs="宋体"/>
                <w:sz w:val="24"/>
              </w:rPr>
              <w:t>分）</w:t>
            </w:r>
          </w:p>
        </w:tc>
        <w:tc>
          <w:tcPr>
            <w:tcW w:w="1170" w:type="dxa"/>
            <w:noWrap w:val="0"/>
            <w:vAlign w:val="center"/>
          </w:tcPr>
          <w:p>
            <w:pPr>
              <w:spacing w:line="360" w:lineRule="auto"/>
              <w:jc w:val="center"/>
              <w:rPr>
                <w:rFonts w:hint="eastAsia"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3.1</w:t>
            </w:r>
          </w:p>
        </w:tc>
        <w:tc>
          <w:tcPr>
            <w:tcW w:w="1095" w:type="dxa"/>
            <w:noWrap w:val="0"/>
            <w:vAlign w:val="center"/>
          </w:tcPr>
          <w:p>
            <w:pPr>
              <w:pStyle w:val="27"/>
              <w:spacing w:line="360" w:lineRule="exact"/>
              <w:jc w:val="center"/>
              <w:rPr>
                <w:rFonts w:hint="eastAsia" w:hAnsi="宋体" w:cs="宋体"/>
                <w:bCs/>
                <w:sz w:val="24"/>
              </w:rPr>
            </w:pPr>
            <w:r>
              <w:rPr>
                <w:rFonts w:hint="eastAsia" w:hAnsi="宋体" w:cs="宋体"/>
                <w:bCs/>
                <w:sz w:val="24"/>
              </w:rPr>
              <w:t>业绩分（</w:t>
            </w:r>
            <w:r>
              <w:rPr>
                <w:rFonts w:hint="eastAsia" w:hAnsi="宋体" w:cs="宋体"/>
                <w:bCs/>
                <w:sz w:val="24"/>
                <w:lang w:val="en-US" w:eastAsia="zh-CN"/>
              </w:rPr>
              <w:t>8</w:t>
            </w:r>
            <w:r>
              <w:rPr>
                <w:rFonts w:hint="eastAsia" w:hAnsi="宋体" w:cs="宋体"/>
                <w:bCs/>
                <w:sz w:val="24"/>
              </w:rPr>
              <w:t>分）</w:t>
            </w:r>
          </w:p>
          <w:p>
            <w:pPr>
              <w:spacing w:line="360" w:lineRule="auto"/>
              <w:jc w:val="center"/>
              <w:rPr>
                <w:rFonts w:hint="eastAsia" w:ascii="宋体" w:hAnsi="宋体" w:cs="宋体"/>
                <w:bCs/>
                <w:sz w:val="24"/>
              </w:rPr>
            </w:pPr>
          </w:p>
        </w:tc>
        <w:tc>
          <w:tcPr>
            <w:tcW w:w="5615" w:type="dxa"/>
            <w:noWrap w:val="0"/>
            <w:vAlign w:val="top"/>
          </w:tcPr>
          <w:p>
            <w:pPr>
              <w:spacing w:line="400" w:lineRule="exact"/>
              <w:rPr>
                <w:rFonts w:hint="eastAsia" w:ascii="宋体" w:hAnsi="宋体" w:cs="宋体"/>
                <w:bCs/>
                <w:sz w:val="24"/>
              </w:rPr>
            </w:pPr>
            <w:r>
              <w:rPr>
                <w:rFonts w:hint="eastAsia" w:ascii="宋体" w:hAnsi="宋体" w:cs="宋体"/>
                <w:bCs/>
                <w:sz w:val="24"/>
              </w:rPr>
              <w:t>供应商提供2022年以来承担过同类服务项目业绩的，每1个得2分，满分</w:t>
            </w:r>
            <w:r>
              <w:rPr>
                <w:rFonts w:hint="eastAsia" w:ascii="宋体" w:hAnsi="宋体" w:cs="宋体"/>
                <w:bCs/>
                <w:sz w:val="24"/>
                <w:lang w:val="en-US" w:eastAsia="zh-CN"/>
              </w:rPr>
              <w:t>8</w:t>
            </w:r>
            <w:r>
              <w:rPr>
                <w:rFonts w:hint="eastAsia" w:ascii="宋体" w:hAnsi="宋体" w:cs="宋体"/>
                <w:bCs/>
                <w:sz w:val="24"/>
              </w:rPr>
              <w:t>分。（同类服务项目指</w:t>
            </w:r>
            <w:r>
              <w:rPr>
                <w:rFonts w:hint="eastAsia" w:ascii="宋体" w:hAnsi="宋体" w:cs="宋体"/>
                <w:bCs/>
                <w:sz w:val="24"/>
                <w:lang w:val="en-US" w:eastAsia="zh-CN"/>
              </w:rPr>
              <w:t>停车场管理</w:t>
            </w:r>
            <w:r>
              <w:rPr>
                <w:rFonts w:hint="eastAsia" w:ascii="宋体" w:hAnsi="宋体" w:cs="宋体"/>
                <w:bCs/>
                <w:sz w:val="24"/>
              </w:rPr>
              <w:t>服务类相关项目，多分标项目中标/成交的按1个项目计，提供合同复印件作为证明材料，否则不计分。）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8</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3.</w:t>
            </w:r>
            <w:r>
              <w:rPr>
                <w:rFonts w:hint="eastAsia" w:ascii="宋体" w:hAnsi="宋体" w:cs="宋体"/>
                <w:bCs/>
                <w:sz w:val="24"/>
                <w:lang w:val="en-US" w:eastAsia="zh-CN"/>
              </w:rPr>
              <w:t>2</w:t>
            </w:r>
          </w:p>
        </w:tc>
        <w:tc>
          <w:tcPr>
            <w:tcW w:w="1095" w:type="dxa"/>
            <w:noWrap w:val="0"/>
            <w:vAlign w:val="center"/>
          </w:tcPr>
          <w:p>
            <w:pPr>
              <w:pStyle w:val="27"/>
              <w:spacing w:line="360" w:lineRule="exact"/>
              <w:jc w:val="center"/>
              <w:rPr>
                <w:rFonts w:hint="eastAsia" w:hAnsi="宋体" w:cs="宋体"/>
                <w:bCs/>
                <w:sz w:val="24"/>
              </w:rPr>
            </w:pPr>
            <w:r>
              <w:rPr>
                <w:rFonts w:hint="eastAsia" w:hAnsi="宋体" w:eastAsia="宋体" w:cs="宋体"/>
                <w:bCs/>
                <w:sz w:val="24"/>
              </w:rPr>
              <w:t>信誉分（10分）</w:t>
            </w:r>
          </w:p>
        </w:tc>
        <w:tc>
          <w:tcPr>
            <w:tcW w:w="5615" w:type="dxa"/>
            <w:noWrap w:val="0"/>
            <w:vAlign w:val="top"/>
          </w:tcPr>
          <w:p>
            <w:pPr>
              <w:spacing w:line="400" w:lineRule="exact"/>
              <w:rPr>
                <w:rFonts w:ascii="宋体" w:hAnsi="宋体" w:cs="宋体"/>
                <w:bCs/>
                <w:sz w:val="24"/>
              </w:rPr>
            </w:pPr>
            <w:r>
              <w:rPr>
                <w:rFonts w:hint="eastAsia" w:ascii="宋体" w:hAnsi="宋体" w:cs="宋体"/>
                <w:bCs/>
                <w:sz w:val="24"/>
              </w:rPr>
              <w:t>（1）供应商提供有效的ISO9001质量管理体系认证、ISO14001环境管理体系认证、OHSAS18001（或ISO45001）职业健康安全管理体系认证证书的，每提供1份得2分，满分6分。</w:t>
            </w:r>
          </w:p>
          <w:p>
            <w:pPr>
              <w:spacing w:line="400" w:lineRule="exact"/>
              <w:rPr>
                <w:rFonts w:hint="eastAsia" w:ascii="宋体" w:hAnsi="宋体" w:cs="宋体"/>
                <w:bCs/>
                <w:sz w:val="24"/>
              </w:rPr>
            </w:pPr>
            <w:r>
              <w:rPr>
                <w:rFonts w:hint="eastAsia" w:ascii="宋体" w:hAnsi="宋体" w:cs="宋体"/>
                <w:bCs/>
                <w:sz w:val="24"/>
              </w:rPr>
              <w:t>（2）供应商2021年以来获国家税务部门对其纳税信用评价结果为A级的，每提供一年的证书的得2分，满分4分。</w:t>
            </w:r>
          </w:p>
          <w:p>
            <w:pPr>
              <w:spacing w:line="400" w:lineRule="exact"/>
              <w:ind w:firstLine="480" w:firstLineChars="200"/>
              <w:rPr>
                <w:rFonts w:ascii="宋体" w:hAnsi="宋体" w:cs="宋体"/>
                <w:bCs/>
                <w:sz w:val="24"/>
              </w:rPr>
            </w:pPr>
            <w:r>
              <w:rPr>
                <w:rFonts w:hint="eastAsia" w:ascii="宋体" w:hAnsi="宋体" w:cs="宋体"/>
                <w:bCs/>
                <w:sz w:val="24"/>
              </w:rPr>
              <w:t>说明：</w:t>
            </w:r>
            <w:r>
              <w:rPr>
                <w:rFonts w:hint="eastAsia" w:ascii="宋体" w:hAnsi="宋体"/>
                <w:bCs/>
                <w:sz w:val="24"/>
              </w:rPr>
              <w:t>供应商提供对应证书复印件并加盖单位公章，否则不予计分。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00" w:type="dxa"/>
            <w:gridSpan w:val="3"/>
            <w:noWrap w:val="0"/>
            <w:vAlign w:val="center"/>
          </w:tcPr>
          <w:p>
            <w:pPr>
              <w:spacing w:line="360" w:lineRule="auto"/>
              <w:rPr>
                <w:rFonts w:hint="eastAsia" w:ascii="宋体" w:hAnsi="宋体" w:cs="宋体"/>
                <w:bCs/>
                <w:sz w:val="24"/>
              </w:rPr>
            </w:pPr>
            <w:r>
              <w:rPr>
                <w:rFonts w:hint="eastAsia" w:ascii="宋体" w:hAnsi="宋体" w:cs="宋体"/>
                <w:bCs/>
                <w:sz w:val="24"/>
              </w:rPr>
              <w:t>总得分（满分100分）＝1＋2＋3</w:t>
            </w:r>
          </w:p>
        </w:tc>
        <w:tc>
          <w:tcPr>
            <w:tcW w:w="1350" w:type="dxa"/>
            <w:noWrap w:val="0"/>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合计</w:t>
            </w:r>
          </w:p>
        </w:tc>
        <w:tc>
          <w:tcPr>
            <w:tcW w:w="1170" w:type="dxa"/>
            <w:noWrap w:val="0"/>
            <w:vAlign w:val="center"/>
          </w:tcPr>
          <w:p>
            <w:pPr>
              <w:widowControl/>
              <w:spacing w:line="360" w:lineRule="auto"/>
              <w:jc w:val="center"/>
              <w:rPr>
                <w:rFonts w:hint="eastAsia" w:ascii="宋体" w:hAnsi="宋体" w:cs="宋体"/>
                <w:kern w:val="0"/>
                <w:sz w:val="24"/>
              </w:rPr>
            </w:pPr>
          </w:p>
        </w:tc>
      </w:tr>
    </w:tbl>
    <w:p>
      <w:pPr>
        <w:tabs>
          <w:tab w:val="left" w:pos="2835"/>
        </w:tabs>
        <w:spacing w:line="360" w:lineRule="auto"/>
        <w:ind w:firstLine="562" w:firstLineChars="200"/>
        <w:rPr>
          <w:rFonts w:hint="eastAsia" w:ascii="宋体" w:hAnsi="宋体" w:cs="宋体"/>
          <w:b/>
          <w:sz w:val="28"/>
          <w:szCs w:val="28"/>
        </w:rPr>
      </w:pPr>
    </w:p>
    <w:p>
      <w:pPr>
        <w:tabs>
          <w:tab w:val="left" w:pos="2835"/>
        </w:tabs>
        <w:spacing w:line="360" w:lineRule="auto"/>
        <w:ind w:firstLine="562" w:firstLineChars="200"/>
        <w:rPr>
          <w:rFonts w:hint="eastAsia" w:ascii="宋体" w:hAnsi="宋体" w:cs="宋体"/>
          <w:b/>
          <w:color w:val="auto"/>
          <w:sz w:val="28"/>
          <w:szCs w:val="28"/>
          <w:highlight w:val="none"/>
        </w:rPr>
      </w:pPr>
    </w:p>
    <w:p>
      <w:pPr>
        <w:tabs>
          <w:tab w:val="left" w:pos="2835"/>
        </w:tabs>
        <w:spacing w:line="360" w:lineRule="auto"/>
        <w:ind w:firstLine="562" w:firstLineChars="200"/>
        <w:rPr>
          <w:rFonts w:hint="eastAsia" w:ascii="宋体" w:hAnsi="宋体" w:cs="宋体"/>
          <w:b/>
          <w:color w:val="auto"/>
          <w:sz w:val="28"/>
          <w:szCs w:val="28"/>
          <w:highlight w:val="none"/>
        </w:rPr>
      </w:pPr>
      <w:r>
        <w:rPr>
          <w:rFonts w:hint="eastAsia" w:ascii="宋体" w:hAnsi="宋体" w:cs="宋体"/>
          <w:b/>
          <w:color w:val="auto"/>
          <w:sz w:val="28"/>
          <w:szCs w:val="28"/>
          <w:highlight w:val="none"/>
        </w:rPr>
        <w:t>三、成交候选人推荐原则</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cs="宋体"/>
          <w:color w:val="auto"/>
          <w:sz w:val="24"/>
          <w:highlight w:val="none"/>
          <w:lang w:val="en-US" w:eastAsia="zh-CN"/>
        </w:rPr>
        <w:t>第一名</w:t>
      </w:r>
      <w:r>
        <w:rPr>
          <w:rFonts w:hint="eastAsia" w:ascii="宋体" w:hAnsi="宋体" w:cs="宋体"/>
          <w:color w:val="auto"/>
          <w:sz w:val="24"/>
          <w:highlight w:val="none"/>
        </w:rPr>
        <w:t>为成交候选供应商。</w:t>
      </w:r>
      <w:r>
        <w:rPr>
          <w:rFonts w:hint="eastAsia" w:ascii="宋体" w:hAnsi="宋体" w:cs="宋体"/>
          <w:color w:val="auto"/>
          <w:sz w:val="24"/>
          <w:highlight w:val="none"/>
          <w:lang w:val="en-US" w:eastAsia="zh-CN"/>
        </w:rPr>
        <w:t>磋商小组把评分结果与成交候选人名单交由医院决策机构院长办公会进行决策。</w:t>
      </w:r>
      <w:r>
        <w:rPr>
          <w:rFonts w:hint="eastAsia" w:ascii="宋体" w:hAnsi="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pPr>
        <w:pStyle w:val="2"/>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融水苗族自治县人民医院停车场委托管理服务项目采购</w:t>
    </w:r>
    <w:r>
      <w:rPr>
        <w:rFonts w:hint="eastAsia"/>
        <w:color w:val="auto"/>
      </w:rPr>
      <w:t>（采购编号：RYCG202402</w:t>
    </w:r>
    <w:r>
      <w:rPr>
        <w:rFonts w:hint="eastAsia"/>
        <w:color w:val="auto"/>
        <w:lang w:val="en-US" w:eastAsia="zh-CN"/>
      </w:rPr>
      <w:t>4融</w:t>
    </w:r>
    <w:r>
      <w:rPr>
        <w:rFonts w:hint="eastAsia"/>
        <w:color w:val="auto"/>
      </w:rPr>
      <w:t>人医招〔202</w:t>
    </w:r>
    <w:r>
      <w:rPr>
        <w:rFonts w:hint="eastAsia"/>
        <w:color w:val="auto"/>
        <w:lang w:val="en-US" w:eastAsia="zh-CN"/>
      </w:rPr>
      <w:t>4</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93CB5"/>
    <w:multiLevelType w:val="singleLevel"/>
    <w:tmpl w:val="8BF93CB5"/>
    <w:lvl w:ilvl="0" w:tentative="0">
      <w:start w:val="4"/>
      <w:numFmt w:val="chineseCounting"/>
      <w:suff w:val="nothing"/>
      <w:lvlText w:val="%1、"/>
      <w:lvlJc w:val="left"/>
      <w:rPr>
        <w:rFonts w:hint="eastAsia"/>
        <w:b/>
        <w:bCs/>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7120</Words>
  <Characters>7458</Characters>
  <Lines>298</Lines>
  <Paragraphs>84</Paragraphs>
  <TotalTime>54</TotalTime>
  <ScaleCrop>false</ScaleCrop>
  <LinksUpToDate>false</LinksUpToDate>
  <CharactersWithSpaces>8155</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Administrator</cp:lastModifiedBy>
  <cp:lastPrinted>2025-01-02T07:27:28Z</cp:lastPrinted>
  <dcterms:modified xsi:type="dcterms:W3CDTF">2025-01-02T08:17:47Z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569F31DAF9C0469F9852B6807CBADA5B_13</vt:lpwstr>
  </property>
</Properties>
</file>