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40" w:lineRule="exact"/>
        <w:contextualSpacing/>
        <w:rPr>
          <w:rFonts w:hint="eastAsia"/>
        </w:rPr>
      </w:pPr>
      <w:bookmarkStart w:id="32" w:name="_GoBack"/>
      <w:r>
        <w:rPr>
          <w:rFonts w:hint="eastAsia" w:ascii="仿宋_GB2312" w:hAnsi="方正仿宋_GB2312" w:eastAsia="仿宋_GB2312" w:cs="方正仿宋_GB2312"/>
          <w:color w:val="000000" w:themeColor="text1"/>
          <w:kern w:val="0"/>
          <w:sz w:val="24"/>
          <w:szCs w:val="24"/>
          <w:lang w:val="en-US" w:eastAsia="zh-CN"/>
          <w14:textFill>
            <w14:solidFill>
              <w14:schemeClr w14:val="tx1"/>
            </w14:solidFill>
          </w14:textFill>
        </w:rPr>
        <w:t>附件二：</w:t>
      </w:r>
      <w:r>
        <w:rPr>
          <w:rFonts w:hint="eastAsia" w:ascii="仿宋_GB2312" w:hAnsi="方正仿宋_GB2312" w:eastAsia="仿宋_GB2312" w:cs="方正仿宋_GB2312"/>
          <w:color w:val="000000" w:themeColor="text1"/>
          <w:kern w:val="0"/>
          <w:sz w:val="24"/>
          <w:szCs w:val="24"/>
          <w14:textFill>
            <w14:solidFill>
              <w14:schemeClr w14:val="tx1"/>
            </w14:solidFill>
          </w14:textFill>
        </w:rPr>
        <w:t>项目参数偏离表格式 </w:t>
      </w:r>
    </w:p>
    <w:bookmarkEnd w:id="32"/>
    <w:p>
      <w:pPr>
        <w:snapToGrid w:val="0"/>
        <w:spacing w:before="50" w:after="50"/>
        <w:jc w:val="both"/>
        <w:rPr>
          <w:rFonts w:hint="eastAsia" w:ascii="仿宋_GB2312" w:hAnsi="方正小标宋简体" w:eastAsia="仿宋_GB2312" w:cs="方正小标宋简体"/>
          <w:b/>
          <w:sz w:val="32"/>
          <w:szCs w:val="32"/>
        </w:rPr>
      </w:pPr>
    </w:p>
    <w:p>
      <w:pPr>
        <w:snapToGrid w:val="0"/>
        <w:spacing w:before="50" w:after="50"/>
        <w:jc w:val="center"/>
        <w:rPr>
          <w:rFonts w:hint="eastAsia" w:ascii="仿宋_GB2312" w:hAnsi="方正小标宋简体" w:eastAsia="仿宋_GB2312" w:cs="方正小标宋简体"/>
          <w:b/>
          <w:sz w:val="32"/>
          <w:szCs w:val="32"/>
          <w:lang w:val="zh-TW"/>
        </w:rPr>
      </w:pPr>
      <w:r>
        <w:rPr>
          <w:rFonts w:hint="eastAsia" w:ascii="仿宋_GB2312" w:hAnsi="方正小标宋简体" w:eastAsia="仿宋_GB2312" w:cs="方正小标宋简体"/>
          <w:b/>
          <w:sz w:val="32"/>
          <w:szCs w:val="32"/>
        </w:rPr>
        <w:t>项目</w:t>
      </w:r>
      <w:r>
        <w:rPr>
          <w:rFonts w:hint="eastAsia" w:ascii="仿宋_GB2312" w:hAnsi="方正小标宋简体" w:eastAsia="仿宋_GB2312" w:cs="方正小标宋简体"/>
          <w:b/>
          <w:sz w:val="32"/>
          <w:szCs w:val="32"/>
          <w:lang w:val="zh-TW"/>
        </w:rPr>
        <w:t>参数偏离表</w:t>
      </w:r>
    </w:p>
    <w:p>
      <w:pPr>
        <w:pStyle w:val="2"/>
        <w:rPr>
          <w:rFonts w:hint="eastAsia" w:ascii="仿宋_GB2312" w:hAnsi="方正小标宋简体" w:eastAsia="仿宋_GB2312" w:cs="方正小标宋简体"/>
          <w:b/>
          <w:sz w:val="32"/>
          <w:szCs w:val="32"/>
          <w:lang w:val="zh-TW"/>
        </w:rPr>
      </w:pPr>
    </w:p>
    <w:tbl>
      <w:tblPr>
        <w:tblStyle w:val="6"/>
        <w:tblW w:w="1000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0"/>
        <w:gridCol w:w="3948"/>
        <w:gridCol w:w="3948"/>
        <w:gridCol w:w="14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6" w:hRule="atLeast"/>
          <w:jc w:val="center"/>
        </w:trPr>
        <w:tc>
          <w:tcPr>
            <w:tcW w:w="640" w:type="dxa"/>
            <w:vAlign w:val="center"/>
          </w:tcPr>
          <w:p>
            <w:pPr>
              <w:jc w:val="center"/>
              <w:rPr>
                <w:rFonts w:hint="eastAsia" w:ascii="仿宋_GB2312" w:hAnsi="仿宋_GB2312" w:eastAsia="仿宋_GB2312" w:cs="仿宋_GB2312"/>
                <w:b/>
                <w:sz w:val="24"/>
              </w:rPr>
            </w:pPr>
            <w:bookmarkStart w:id="0" w:name="_Toc254970729"/>
            <w:bookmarkStart w:id="1" w:name="_Toc173211900"/>
            <w:bookmarkStart w:id="2" w:name="_Toc254970588"/>
            <w:bookmarkStart w:id="3" w:name="_Toc173066401"/>
            <w:bookmarkStart w:id="4" w:name="_Toc21728"/>
            <w:r>
              <w:rPr>
                <w:rFonts w:hint="eastAsia" w:ascii="仿宋_GB2312" w:hAnsi="仿宋_GB2312" w:eastAsia="仿宋_GB2312" w:cs="仿宋_GB2312"/>
                <w:b/>
                <w:sz w:val="24"/>
              </w:rPr>
              <w:t>序号</w:t>
            </w:r>
            <w:bookmarkEnd w:id="0"/>
            <w:bookmarkEnd w:id="1"/>
            <w:bookmarkEnd w:id="2"/>
            <w:bookmarkEnd w:id="3"/>
            <w:bookmarkEnd w:id="4"/>
          </w:p>
        </w:tc>
        <w:tc>
          <w:tcPr>
            <w:tcW w:w="3948"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基本要求及其他说明</w:t>
            </w:r>
          </w:p>
        </w:tc>
        <w:tc>
          <w:tcPr>
            <w:tcW w:w="3948" w:type="dxa"/>
            <w:vAlign w:val="center"/>
          </w:tcPr>
          <w:p>
            <w:pPr>
              <w:jc w:val="center"/>
              <w:rPr>
                <w:rFonts w:hint="eastAsia" w:ascii="仿宋_GB2312" w:hAnsi="仿宋_GB2312" w:eastAsia="仿宋_GB2312" w:cs="仿宋_GB2312"/>
                <w:b/>
                <w:sz w:val="24"/>
              </w:rPr>
            </w:pPr>
            <w:bookmarkStart w:id="5" w:name="_Toc28256"/>
            <w:bookmarkStart w:id="6" w:name="_Toc173211902"/>
            <w:bookmarkStart w:id="7" w:name="_Toc173066403"/>
            <w:bookmarkStart w:id="8" w:name="_Toc254970590"/>
            <w:bookmarkStart w:id="9" w:name="_Toc254970731"/>
            <w:r>
              <w:rPr>
                <w:rFonts w:hint="eastAsia" w:ascii="仿宋_GB2312" w:hAnsi="仿宋_GB2312" w:eastAsia="仿宋_GB2312" w:cs="仿宋_GB2312"/>
                <w:b/>
                <w:sz w:val="24"/>
              </w:rPr>
              <w:t>具体响应</w:t>
            </w:r>
            <w:bookmarkEnd w:id="5"/>
            <w:bookmarkEnd w:id="6"/>
            <w:bookmarkEnd w:id="7"/>
            <w:bookmarkEnd w:id="8"/>
            <w:bookmarkEnd w:id="9"/>
          </w:p>
        </w:tc>
        <w:tc>
          <w:tcPr>
            <w:tcW w:w="1473" w:type="dxa"/>
            <w:vAlign w:val="center"/>
          </w:tcPr>
          <w:p>
            <w:pPr>
              <w:jc w:val="center"/>
              <w:rPr>
                <w:rFonts w:hint="eastAsia" w:ascii="仿宋_GB2312" w:hAnsi="仿宋_GB2312" w:eastAsia="仿宋_GB2312" w:cs="仿宋_GB2312"/>
                <w:b/>
                <w:sz w:val="24"/>
              </w:rPr>
            </w:pPr>
            <w:bookmarkStart w:id="10" w:name="_Toc254970732"/>
            <w:bookmarkStart w:id="11" w:name="_Toc173211903"/>
            <w:bookmarkStart w:id="12" w:name="_Toc23211"/>
            <w:bookmarkStart w:id="13" w:name="_Toc254970591"/>
            <w:bookmarkStart w:id="14" w:name="_Toc173066404"/>
            <w:r>
              <w:rPr>
                <w:rFonts w:hint="eastAsia" w:ascii="仿宋_GB2312" w:hAnsi="仿宋_GB2312" w:eastAsia="仿宋_GB2312" w:cs="仿宋_GB2312"/>
                <w:b/>
                <w:sz w:val="24"/>
              </w:rPr>
              <w:t>响应/偏离</w:t>
            </w:r>
            <w:bookmarkEnd w:id="10"/>
            <w:bookmarkEnd w:id="11"/>
            <w:bookmarkEnd w:id="12"/>
            <w:bookmarkEnd w:id="13"/>
            <w:bookmarkEnd w:id="14"/>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640" w:type="dxa"/>
            <w:vAlign w:val="center"/>
          </w:tcPr>
          <w:p>
            <w:pPr>
              <w:adjustRightInd w:val="0"/>
              <w:snapToGrid w:val="0"/>
              <w:spacing w:line="400" w:lineRule="exact"/>
              <w:jc w:val="center"/>
              <w:outlineLvl w:val="0"/>
              <w:rPr>
                <w:rFonts w:hint="eastAsia" w:ascii="仿宋_GB2312" w:hAnsi="仿宋" w:eastAsia="仿宋_GB2312" w:cs="仿宋"/>
                <w:sz w:val="24"/>
              </w:rPr>
            </w:pPr>
            <w:bookmarkStart w:id="15" w:name="_Toc173066406"/>
            <w:bookmarkStart w:id="16" w:name="_Toc254970593"/>
            <w:bookmarkStart w:id="17" w:name="_Toc14953"/>
            <w:bookmarkStart w:id="18" w:name="_Toc254970734"/>
            <w:bookmarkStart w:id="19" w:name="_Toc173211905"/>
            <w:r>
              <w:rPr>
                <w:rFonts w:hint="eastAsia" w:ascii="仿宋_GB2312" w:hAnsi="仿宋" w:eastAsia="仿宋_GB2312" w:cs="仿宋"/>
                <w:sz w:val="24"/>
              </w:rPr>
              <w:t>1</w:t>
            </w:r>
            <w:bookmarkEnd w:id="15"/>
            <w:bookmarkEnd w:id="16"/>
            <w:bookmarkEnd w:id="17"/>
            <w:bookmarkEnd w:id="18"/>
            <w:bookmarkEnd w:id="19"/>
          </w:p>
        </w:tc>
        <w:tc>
          <w:tcPr>
            <w:tcW w:w="3948" w:type="dxa"/>
            <w:vAlign w:val="center"/>
          </w:tcPr>
          <w:p>
            <w:pPr>
              <w:adjustRightInd w:val="0"/>
              <w:snapToGrid w:val="0"/>
              <w:spacing w:line="400" w:lineRule="exact"/>
              <w:jc w:val="left"/>
              <w:rPr>
                <w:rFonts w:hint="eastAsia" w:ascii="仿宋_GB2312" w:hAnsi="仿宋" w:eastAsia="仿宋_GB2312" w:cs="仿宋"/>
                <w:sz w:val="24"/>
              </w:rPr>
            </w:pPr>
            <w:r>
              <w:rPr>
                <w:rFonts w:hint="eastAsia" w:ascii="仿宋_GB2312" w:hAnsi="仿宋" w:eastAsia="仿宋_GB2312" w:cs="仿宋"/>
                <w:sz w:val="24"/>
              </w:rPr>
              <w:t>（一）机构要求</w:t>
            </w:r>
          </w:p>
          <w:p>
            <w:pPr>
              <w:adjustRightInd w:val="0"/>
              <w:snapToGrid w:val="0"/>
              <w:spacing w:line="400" w:lineRule="exact"/>
              <w:jc w:val="left"/>
              <w:rPr>
                <w:rFonts w:hint="eastAsia" w:ascii="仿宋_GB2312" w:hAnsi="仿宋" w:eastAsia="仿宋_GB2312" w:cs="仿宋"/>
                <w:sz w:val="24"/>
              </w:rPr>
            </w:pPr>
            <w:r>
              <w:rPr>
                <w:rFonts w:hint="eastAsia" w:ascii="仿宋_GB2312" w:hAnsi="仿宋" w:eastAsia="仿宋_GB2312" w:cs="仿宋"/>
                <w:sz w:val="24"/>
              </w:rPr>
              <w:t>1.有实体办公机构、有符合开展“互联网+护理服务”工作的信息平台。</w:t>
            </w:r>
          </w:p>
        </w:tc>
        <w:tc>
          <w:tcPr>
            <w:tcW w:w="3948" w:type="dxa"/>
            <w:vAlign w:val="center"/>
          </w:tcPr>
          <w:p>
            <w:pPr>
              <w:adjustRightInd w:val="0"/>
              <w:snapToGrid w:val="0"/>
              <w:spacing w:line="400" w:lineRule="exact"/>
              <w:jc w:val="center"/>
              <w:rPr>
                <w:rFonts w:hint="eastAsia" w:ascii="仿宋_GB2312" w:hAnsi="仿宋" w:eastAsia="仿宋_GB2312" w:cs="仿宋"/>
                <w:sz w:val="24"/>
              </w:rPr>
            </w:pPr>
          </w:p>
        </w:tc>
        <w:tc>
          <w:tcPr>
            <w:tcW w:w="1473" w:type="dxa"/>
            <w:vAlign w:val="center"/>
          </w:tcPr>
          <w:p>
            <w:pPr>
              <w:adjustRightInd w:val="0"/>
              <w:snapToGrid w:val="0"/>
              <w:spacing w:line="4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640" w:type="dxa"/>
            <w:vAlign w:val="center"/>
          </w:tcPr>
          <w:p>
            <w:pPr>
              <w:adjustRightInd w:val="0"/>
              <w:snapToGrid w:val="0"/>
              <w:spacing w:line="400" w:lineRule="exact"/>
              <w:jc w:val="center"/>
              <w:outlineLvl w:val="0"/>
              <w:rPr>
                <w:rFonts w:hint="eastAsia" w:ascii="仿宋_GB2312" w:hAnsi="仿宋" w:eastAsia="仿宋_GB2312" w:cs="仿宋"/>
                <w:sz w:val="24"/>
              </w:rPr>
            </w:pPr>
            <w:bookmarkStart w:id="20" w:name="_Toc8521"/>
            <w:bookmarkStart w:id="21" w:name="_Toc254970735"/>
            <w:bookmarkStart w:id="22" w:name="_Toc254970594"/>
            <w:bookmarkStart w:id="23" w:name="_Toc173211906"/>
            <w:bookmarkStart w:id="24" w:name="_Toc173066407"/>
            <w:r>
              <w:rPr>
                <w:rFonts w:hint="eastAsia" w:ascii="仿宋_GB2312" w:hAnsi="仿宋" w:eastAsia="仿宋_GB2312" w:cs="仿宋"/>
                <w:sz w:val="24"/>
              </w:rPr>
              <w:t>2</w:t>
            </w:r>
            <w:bookmarkEnd w:id="20"/>
            <w:bookmarkEnd w:id="21"/>
            <w:bookmarkEnd w:id="22"/>
            <w:bookmarkEnd w:id="23"/>
            <w:bookmarkEnd w:id="24"/>
          </w:p>
        </w:tc>
        <w:tc>
          <w:tcPr>
            <w:tcW w:w="3948" w:type="dxa"/>
            <w:vAlign w:val="center"/>
          </w:tcPr>
          <w:p>
            <w:pPr>
              <w:adjustRightInd w:val="0"/>
              <w:snapToGrid w:val="0"/>
              <w:spacing w:line="400" w:lineRule="exact"/>
              <w:jc w:val="left"/>
              <w:rPr>
                <w:rFonts w:hint="eastAsia" w:ascii="仿宋_GB2312" w:hAnsi="仿宋" w:eastAsia="仿宋_GB2312" w:cs="仿宋"/>
                <w:sz w:val="24"/>
              </w:rPr>
            </w:pPr>
            <w:r>
              <w:rPr>
                <w:rFonts w:hint="eastAsia" w:ascii="仿宋_GB2312" w:hAnsi="仿宋" w:eastAsia="仿宋_GB2312" w:cs="仿宋"/>
                <w:sz w:val="24"/>
              </w:rPr>
              <w:t>2.遵守国家及地方的法律法规，具有良好的职业道德和社会信誉，有较高的专业素质，近三年来没有违法违规执业行为，且未被行政主管部门通报批评和处罚。</w:t>
            </w:r>
          </w:p>
        </w:tc>
        <w:tc>
          <w:tcPr>
            <w:tcW w:w="3948" w:type="dxa"/>
            <w:vAlign w:val="center"/>
          </w:tcPr>
          <w:p>
            <w:pPr>
              <w:adjustRightInd w:val="0"/>
              <w:snapToGrid w:val="0"/>
              <w:spacing w:line="400" w:lineRule="exact"/>
              <w:jc w:val="center"/>
              <w:rPr>
                <w:rFonts w:hint="eastAsia" w:ascii="仿宋_GB2312" w:hAnsi="仿宋" w:eastAsia="仿宋_GB2312" w:cs="仿宋"/>
                <w:sz w:val="24"/>
              </w:rPr>
            </w:pPr>
          </w:p>
        </w:tc>
        <w:tc>
          <w:tcPr>
            <w:tcW w:w="1473" w:type="dxa"/>
            <w:vAlign w:val="center"/>
          </w:tcPr>
          <w:p>
            <w:pPr>
              <w:adjustRightInd w:val="0"/>
              <w:snapToGrid w:val="0"/>
              <w:spacing w:line="4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640" w:type="dxa"/>
            <w:vAlign w:val="center"/>
          </w:tcPr>
          <w:p>
            <w:pPr>
              <w:adjustRightInd w:val="0"/>
              <w:snapToGrid w:val="0"/>
              <w:spacing w:line="400" w:lineRule="exact"/>
              <w:jc w:val="center"/>
              <w:outlineLvl w:val="0"/>
              <w:rPr>
                <w:rFonts w:hint="eastAsia" w:ascii="仿宋_GB2312" w:hAnsi="仿宋" w:eastAsia="仿宋_GB2312" w:cs="仿宋"/>
                <w:sz w:val="24"/>
              </w:rPr>
            </w:pPr>
            <w:bookmarkStart w:id="25" w:name="_Toc254970595"/>
            <w:bookmarkStart w:id="26" w:name="_Toc173211907"/>
            <w:bookmarkStart w:id="27" w:name="_Toc10830"/>
            <w:bookmarkStart w:id="28" w:name="_Toc254970736"/>
            <w:bookmarkStart w:id="29" w:name="_Toc173066408"/>
            <w:r>
              <w:rPr>
                <w:rFonts w:hint="eastAsia" w:ascii="仿宋_GB2312" w:hAnsi="仿宋" w:eastAsia="仿宋_GB2312" w:cs="仿宋"/>
                <w:sz w:val="24"/>
              </w:rPr>
              <w:t>3</w:t>
            </w:r>
            <w:bookmarkEnd w:id="25"/>
            <w:bookmarkEnd w:id="26"/>
            <w:bookmarkEnd w:id="27"/>
            <w:bookmarkEnd w:id="28"/>
            <w:bookmarkEnd w:id="29"/>
          </w:p>
        </w:tc>
        <w:tc>
          <w:tcPr>
            <w:tcW w:w="3948" w:type="dxa"/>
            <w:vAlign w:val="center"/>
          </w:tcPr>
          <w:p>
            <w:pPr>
              <w:adjustRightInd w:val="0"/>
              <w:snapToGrid w:val="0"/>
              <w:spacing w:line="400" w:lineRule="exact"/>
              <w:jc w:val="left"/>
              <w:rPr>
                <w:rFonts w:hint="eastAsia" w:ascii="仿宋_GB2312" w:hAnsi="仿宋" w:eastAsia="仿宋_GB2312" w:cs="仿宋"/>
                <w:sz w:val="24"/>
              </w:rPr>
            </w:pPr>
            <w:r>
              <w:rPr>
                <w:rFonts w:hint="eastAsia" w:ascii="仿宋_GB2312" w:hAnsi="仿宋" w:eastAsia="仿宋_GB2312" w:cs="仿宋"/>
                <w:sz w:val="24"/>
              </w:rPr>
              <w:t>（二）项目参数</w:t>
            </w:r>
          </w:p>
          <w:p>
            <w:pPr>
              <w:adjustRightInd w:val="0"/>
              <w:snapToGrid w:val="0"/>
              <w:spacing w:line="400" w:lineRule="exact"/>
              <w:jc w:val="left"/>
              <w:rPr>
                <w:rFonts w:hint="eastAsia" w:ascii="仿宋_GB2312" w:hAnsi="仿宋" w:eastAsia="仿宋_GB2312" w:cs="仿宋"/>
                <w:sz w:val="24"/>
              </w:rPr>
            </w:pPr>
            <w:r>
              <w:rPr>
                <w:rFonts w:hint="eastAsia" w:ascii="仿宋_GB2312" w:hAnsi="仿宋" w:eastAsia="仿宋_GB2312" w:cs="仿宋"/>
                <w:sz w:val="24"/>
              </w:rPr>
              <w:t>1.有实体医疗机构，具备家庭，社区巡查功能信息平台，信息平台依托实体医疗机构，可独立开展“互联网+护理服务”。</w:t>
            </w:r>
          </w:p>
        </w:tc>
        <w:tc>
          <w:tcPr>
            <w:tcW w:w="3948" w:type="dxa"/>
            <w:vAlign w:val="center"/>
          </w:tcPr>
          <w:p>
            <w:pPr>
              <w:adjustRightInd w:val="0"/>
              <w:snapToGrid w:val="0"/>
              <w:spacing w:line="400" w:lineRule="exact"/>
              <w:jc w:val="center"/>
              <w:rPr>
                <w:rFonts w:hint="eastAsia" w:ascii="仿宋_GB2312" w:hAnsi="仿宋" w:eastAsia="仿宋_GB2312" w:cs="仿宋"/>
                <w:sz w:val="24"/>
              </w:rPr>
            </w:pPr>
          </w:p>
        </w:tc>
        <w:tc>
          <w:tcPr>
            <w:tcW w:w="1473" w:type="dxa"/>
            <w:vAlign w:val="center"/>
          </w:tcPr>
          <w:p>
            <w:pPr>
              <w:adjustRightInd w:val="0"/>
              <w:snapToGrid w:val="0"/>
              <w:spacing w:line="4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640" w:type="dxa"/>
            <w:vAlign w:val="center"/>
          </w:tcPr>
          <w:p>
            <w:pPr>
              <w:adjustRightInd w:val="0"/>
              <w:snapToGrid w:val="0"/>
              <w:spacing w:line="400" w:lineRule="exact"/>
              <w:jc w:val="center"/>
              <w:outlineLvl w:val="0"/>
              <w:rPr>
                <w:rFonts w:hint="eastAsia" w:ascii="仿宋_GB2312" w:hAnsi="仿宋" w:eastAsia="仿宋_GB2312" w:cs="仿宋"/>
                <w:sz w:val="24"/>
              </w:rPr>
            </w:pPr>
            <w:bookmarkStart w:id="30" w:name="_Toc32198"/>
            <w:r>
              <w:rPr>
                <w:rFonts w:hint="eastAsia" w:ascii="仿宋_GB2312" w:hAnsi="仿宋" w:eastAsia="仿宋_GB2312" w:cs="仿宋"/>
                <w:sz w:val="24"/>
              </w:rPr>
              <w:t>4</w:t>
            </w:r>
            <w:bookmarkEnd w:id="30"/>
          </w:p>
        </w:tc>
        <w:tc>
          <w:tcPr>
            <w:tcW w:w="3948" w:type="dxa"/>
            <w:vAlign w:val="center"/>
          </w:tcPr>
          <w:p>
            <w:pPr>
              <w:pStyle w:val="5"/>
              <w:widowControl/>
              <w:wordWrap w:val="0"/>
              <w:spacing w:before="60" w:beforeAutospacing="0" w:afterAutospacing="0" w:line="360" w:lineRule="exact"/>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2.机构提供“互联网+护理服务”。</w:t>
            </w:r>
          </w:p>
          <w:p>
            <w:pPr>
              <w:pStyle w:val="5"/>
              <w:widowControl/>
              <w:wordWrap w:val="0"/>
              <w:spacing w:before="60" w:beforeAutospacing="0" w:afterAutospacing="0" w:line="360" w:lineRule="exact"/>
              <w:rPr>
                <w:rFonts w:hint="eastAsia" w:ascii="仿宋_GB2312" w:hAnsi="仿宋" w:eastAsia="仿宋_GB2312" w:cs="仿宋"/>
              </w:rPr>
            </w:pPr>
            <w:r>
              <w:rPr>
                <w:rFonts w:hint="eastAsia" w:ascii="仿宋_GB2312" w:hAnsi="仿宋" w:eastAsia="仿宋_GB2312" w:cs="仿宋"/>
                <w:color w:val="000000" w:themeColor="text1"/>
                <w14:textFill>
                  <w14:solidFill>
                    <w14:schemeClr w14:val="tx1"/>
                  </w14:solidFill>
                </w14:textFill>
              </w:rPr>
              <w:t>已登记家庭病床、巡诊、社区护理等服务项目，已开展家庭病床服务、护理巡诊服务、护理服务已延伸至社区和家庭(含出院后延续护理服务)。</w:t>
            </w:r>
          </w:p>
        </w:tc>
        <w:tc>
          <w:tcPr>
            <w:tcW w:w="3948" w:type="dxa"/>
            <w:vAlign w:val="center"/>
          </w:tcPr>
          <w:p>
            <w:pPr>
              <w:adjustRightInd w:val="0"/>
              <w:snapToGrid w:val="0"/>
              <w:spacing w:line="400" w:lineRule="exact"/>
              <w:jc w:val="center"/>
              <w:rPr>
                <w:rFonts w:hint="eastAsia" w:ascii="仿宋_GB2312" w:hAnsi="仿宋" w:eastAsia="仿宋_GB2312" w:cs="仿宋"/>
                <w:sz w:val="24"/>
              </w:rPr>
            </w:pPr>
          </w:p>
        </w:tc>
        <w:tc>
          <w:tcPr>
            <w:tcW w:w="1473" w:type="dxa"/>
            <w:vAlign w:val="center"/>
          </w:tcPr>
          <w:p>
            <w:pPr>
              <w:adjustRightInd w:val="0"/>
              <w:snapToGrid w:val="0"/>
              <w:spacing w:line="4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640" w:type="dxa"/>
            <w:vAlign w:val="center"/>
          </w:tcPr>
          <w:p>
            <w:pPr>
              <w:adjustRightInd w:val="0"/>
              <w:snapToGrid w:val="0"/>
              <w:spacing w:line="400" w:lineRule="exact"/>
              <w:jc w:val="center"/>
              <w:outlineLvl w:val="0"/>
              <w:rPr>
                <w:rFonts w:hint="eastAsia" w:ascii="仿宋_GB2312" w:hAnsi="仿宋" w:eastAsia="仿宋_GB2312" w:cs="仿宋"/>
                <w:sz w:val="24"/>
              </w:rPr>
            </w:pPr>
            <w:bookmarkStart w:id="31" w:name="_Toc377"/>
            <w:r>
              <w:rPr>
                <w:rFonts w:hint="eastAsia" w:ascii="仿宋_GB2312" w:hAnsi="仿宋" w:eastAsia="仿宋_GB2312" w:cs="仿宋"/>
                <w:sz w:val="24"/>
              </w:rPr>
              <w:t>5</w:t>
            </w:r>
            <w:bookmarkEnd w:id="31"/>
          </w:p>
        </w:tc>
        <w:tc>
          <w:tcPr>
            <w:tcW w:w="3948" w:type="dxa"/>
            <w:vAlign w:val="center"/>
          </w:tcPr>
          <w:p>
            <w:pPr>
              <w:pStyle w:val="5"/>
              <w:widowControl/>
              <w:wordWrap w:val="0"/>
              <w:spacing w:before="60" w:beforeAutospacing="0" w:afterAutospacing="0" w:line="360" w:lineRule="exact"/>
              <w:rPr>
                <w:rFonts w:hint="eastAsia" w:ascii="仿宋_GB2312" w:hAnsi="仿宋" w:eastAsia="仿宋_GB2312" w:cs="仿宋"/>
              </w:rPr>
            </w:pPr>
            <w:r>
              <w:rPr>
                <w:rFonts w:hint="eastAsia" w:ascii="仿宋_GB2312" w:hAnsi="仿宋" w:eastAsia="仿宋_GB2312" w:cs="仿宋"/>
                <w:color w:val="000000" w:themeColor="text1"/>
                <w14:textFill>
                  <w14:solidFill>
                    <w14:schemeClr w14:val="tx1"/>
                  </w14:solidFill>
                </w14:textFill>
              </w:rPr>
              <w:t>3.机构应具备“互联网+护理服务”线上申请、跟踪、评价等服务的互联网信息技术平台。</w:t>
            </w:r>
          </w:p>
        </w:tc>
        <w:tc>
          <w:tcPr>
            <w:tcW w:w="3948" w:type="dxa"/>
            <w:vAlign w:val="center"/>
          </w:tcPr>
          <w:p>
            <w:pPr>
              <w:adjustRightInd w:val="0"/>
              <w:snapToGrid w:val="0"/>
              <w:spacing w:line="400" w:lineRule="exact"/>
              <w:jc w:val="center"/>
              <w:rPr>
                <w:rFonts w:hint="eastAsia" w:ascii="仿宋_GB2312" w:hAnsi="仿宋" w:eastAsia="仿宋_GB2312" w:cs="仿宋"/>
                <w:sz w:val="24"/>
              </w:rPr>
            </w:pPr>
          </w:p>
        </w:tc>
        <w:tc>
          <w:tcPr>
            <w:tcW w:w="1473" w:type="dxa"/>
            <w:vAlign w:val="center"/>
          </w:tcPr>
          <w:p>
            <w:pPr>
              <w:adjustRightInd w:val="0"/>
              <w:snapToGrid w:val="0"/>
              <w:spacing w:line="4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jc w:val="center"/>
        </w:trPr>
        <w:tc>
          <w:tcPr>
            <w:tcW w:w="640" w:type="dxa"/>
            <w:vAlign w:val="center"/>
          </w:tcPr>
          <w:p>
            <w:pPr>
              <w:adjustRightInd w:val="0"/>
              <w:snapToGrid w:val="0"/>
              <w:spacing w:line="400" w:lineRule="exact"/>
              <w:jc w:val="center"/>
              <w:outlineLvl w:val="0"/>
              <w:rPr>
                <w:rFonts w:hint="eastAsia" w:ascii="仿宋_GB2312" w:hAnsi="仿宋" w:eastAsia="仿宋_GB2312" w:cs="仿宋"/>
                <w:sz w:val="24"/>
              </w:rPr>
            </w:pPr>
            <w:r>
              <w:rPr>
                <w:rFonts w:hint="eastAsia" w:ascii="仿宋_GB2312" w:hAnsi="仿宋" w:eastAsia="仿宋_GB2312" w:cs="仿宋"/>
                <w:sz w:val="24"/>
              </w:rPr>
              <w:t>6</w:t>
            </w:r>
          </w:p>
        </w:tc>
        <w:tc>
          <w:tcPr>
            <w:tcW w:w="3948" w:type="dxa"/>
            <w:vAlign w:val="center"/>
          </w:tcPr>
          <w:p>
            <w:pPr>
              <w:adjustRightInd w:val="0"/>
              <w:snapToGrid w:val="0"/>
              <w:spacing w:line="400" w:lineRule="exact"/>
              <w:jc w:val="left"/>
              <w:rPr>
                <w:rFonts w:hint="eastAsia" w:ascii="仿宋_GB2312" w:hAnsi="仿宋" w:eastAsia="仿宋_GB2312" w:cs="仿宋"/>
                <w:sz w:val="24"/>
              </w:rPr>
            </w:pPr>
            <w:r>
              <w:rPr>
                <w:rFonts w:hint="eastAsia" w:ascii="仿宋_GB2312" w:hAnsi="仿宋" w:eastAsia="仿宋_GB2312" w:cs="仿宋"/>
                <w:color w:val="000000" w:themeColor="text1"/>
                <w:sz w:val="24"/>
                <w14:textFill>
                  <w14:solidFill>
                    <w14:schemeClr w14:val="tx1"/>
                  </w14:solidFill>
                </w14:textFill>
              </w:rPr>
              <w:t>4.机构具备上门服务的培训能力及完善的考核标准。</w:t>
            </w:r>
          </w:p>
        </w:tc>
        <w:tc>
          <w:tcPr>
            <w:tcW w:w="3948" w:type="dxa"/>
            <w:vAlign w:val="center"/>
          </w:tcPr>
          <w:p>
            <w:pPr>
              <w:adjustRightInd w:val="0"/>
              <w:snapToGrid w:val="0"/>
              <w:spacing w:line="400" w:lineRule="exact"/>
              <w:jc w:val="center"/>
              <w:rPr>
                <w:rFonts w:hint="eastAsia" w:ascii="仿宋_GB2312" w:hAnsi="仿宋" w:eastAsia="仿宋_GB2312" w:cs="仿宋"/>
                <w:sz w:val="24"/>
              </w:rPr>
            </w:pPr>
          </w:p>
        </w:tc>
        <w:tc>
          <w:tcPr>
            <w:tcW w:w="1473" w:type="dxa"/>
            <w:tcBorders>
              <w:right w:val="single" w:color="auto" w:sz="4" w:space="0"/>
            </w:tcBorders>
            <w:vAlign w:val="center"/>
          </w:tcPr>
          <w:p>
            <w:pPr>
              <w:adjustRightInd w:val="0"/>
              <w:snapToGrid w:val="0"/>
              <w:spacing w:line="4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jc w:val="center"/>
        </w:trPr>
        <w:tc>
          <w:tcPr>
            <w:tcW w:w="640" w:type="dxa"/>
            <w:vAlign w:val="center"/>
          </w:tcPr>
          <w:p>
            <w:pPr>
              <w:adjustRightInd w:val="0"/>
              <w:snapToGrid w:val="0"/>
              <w:spacing w:line="400" w:lineRule="exact"/>
              <w:jc w:val="center"/>
              <w:outlineLvl w:val="0"/>
              <w:rPr>
                <w:rFonts w:hint="eastAsia" w:ascii="仿宋_GB2312" w:hAnsi="仿宋" w:eastAsia="仿宋_GB2312" w:cs="仿宋"/>
                <w:sz w:val="24"/>
              </w:rPr>
            </w:pPr>
            <w:r>
              <w:rPr>
                <w:rFonts w:hint="eastAsia" w:ascii="仿宋_GB2312" w:hAnsi="仿宋" w:eastAsia="仿宋_GB2312" w:cs="仿宋"/>
                <w:sz w:val="24"/>
              </w:rPr>
              <w:t>7</w:t>
            </w:r>
          </w:p>
        </w:tc>
        <w:tc>
          <w:tcPr>
            <w:tcW w:w="3948" w:type="dxa"/>
            <w:vAlign w:val="center"/>
          </w:tcPr>
          <w:p>
            <w:pPr>
              <w:pStyle w:val="5"/>
              <w:widowControl/>
              <w:wordWrap w:val="0"/>
              <w:spacing w:before="60" w:beforeAutospacing="0" w:afterAutospacing="0" w:line="360" w:lineRule="exact"/>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5.机构有开展“互联网+护理服务”3年以上经验。</w:t>
            </w:r>
          </w:p>
        </w:tc>
        <w:tc>
          <w:tcPr>
            <w:tcW w:w="3948" w:type="dxa"/>
            <w:vAlign w:val="center"/>
          </w:tcPr>
          <w:p>
            <w:pPr>
              <w:adjustRightInd w:val="0"/>
              <w:snapToGrid w:val="0"/>
              <w:spacing w:line="400" w:lineRule="exact"/>
              <w:jc w:val="center"/>
              <w:rPr>
                <w:rFonts w:hint="eastAsia" w:ascii="仿宋_GB2312" w:hAnsi="仿宋" w:eastAsia="仿宋_GB2312" w:cs="仿宋"/>
                <w:sz w:val="24"/>
              </w:rPr>
            </w:pPr>
          </w:p>
        </w:tc>
        <w:tc>
          <w:tcPr>
            <w:tcW w:w="1473" w:type="dxa"/>
            <w:tcBorders>
              <w:right w:val="single" w:color="auto" w:sz="4" w:space="0"/>
            </w:tcBorders>
            <w:vAlign w:val="center"/>
          </w:tcPr>
          <w:p>
            <w:pPr>
              <w:adjustRightInd w:val="0"/>
              <w:snapToGrid w:val="0"/>
              <w:spacing w:line="4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jc w:val="center"/>
        </w:trPr>
        <w:tc>
          <w:tcPr>
            <w:tcW w:w="640" w:type="dxa"/>
            <w:vAlign w:val="center"/>
          </w:tcPr>
          <w:p>
            <w:pPr>
              <w:adjustRightInd w:val="0"/>
              <w:snapToGrid w:val="0"/>
              <w:spacing w:line="400" w:lineRule="exact"/>
              <w:jc w:val="center"/>
              <w:outlineLvl w:val="0"/>
              <w:rPr>
                <w:rFonts w:hint="eastAsia" w:ascii="仿宋_GB2312" w:hAnsi="仿宋" w:eastAsia="仿宋_GB2312" w:cs="仿宋"/>
                <w:sz w:val="24"/>
              </w:rPr>
            </w:pPr>
            <w:r>
              <w:rPr>
                <w:rFonts w:hint="eastAsia" w:ascii="仿宋_GB2312" w:hAnsi="仿宋" w:eastAsia="仿宋_GB2312" w:cs="仿宋"/>
                <w:sz w:val="24"/>
              </w:rPr>
              <w:t>8</w:t>
            </w:r>
          </w:p>
        </w:tc>
        <w:tc>
          <w:tcPr>
            <w:tcW w:w="3948" w:type="dxa"/>
            <w:vAlign w:val="center"/>
          </w:tcPr>
          <w:p>
            <w:pPr>
              <w:pStyle w:val="5"/>
              <w:widowControl/>
              <w:wordWrap w:val="0"/>
              <w:spacing w:before="60" w:beforeAutospacing="0" w:afterAutospacing="0" w:line="360" w:lineRule="exact"/>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6.机构不收取医院的任何费用、有整套开展运行机制和完善的管理体系。</w:t>
            </w:r>
          </w:p>
        </w:tc>
        <w:tc>
          <w:tcPr>
            <w:tcW w:w="3948" w:type="dxa"/>
            <w:vAlign w:val="center"/>
          </w:tcPr>
          <w:p>
            <w:pPr>
              <w:adjustRightInd w:val="0"/>
              <w:snapToGrid w:val="0"/>
              <w:spacing w:line="400" w:lineRule="exact"/>
              <w:jc w:val="center"/>
              <w:rPr>
                <w:rFonts w:hint="eastAsia" w:ascii="仿宋_GB2312" w:hAnsi="仿宋" w:eastAsia="仿宋_GB2312" w:cs="仿宋"/>
                <w:sz w:val="24"/>
              </w:rPr>
            </w:pPr>
          </w:p>
        </w:tc>
        <w:tc>
          <w:tcPr>
            <w:tcW w:w="1473" w:type="dxa"/>
            <w:tcBorders>
              <w:right w:val="single" w:color="auto" w:sz="4" w:space="0"/>
            </w:tcBorders>
            <w:vAlign w:val="center"/>
          </w:tcPr>
          <w:p>
            <w:pPr>
              <w:adjustRightInd w:val="0"/>
              <w:snapToGrid w:val="0"/>
              <w:spacing w:line="4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jc w:val="center"/>
        </w:trPr>
        <w:tc>
          <w:tcPr>
            <w:tcW w:w="640" w:type="dxa"/>
            <w:vAlign w:val="center"/>
          </w:tcPr>
          <w:p>
            <w:pPr>
              <w:adjustRightInd w:val="0"/>
              <w:snapToGrid w:val="0"/>
              <w:spacing w:line="400" w:lineRule="exact"/>
              <w:jc w:val="center"/>
              <w:outlineLvl w:val="0"/>
              <w:rPr>
                <w:rFonts w:hint="eastAsia" w:ascii="仿宋_GB2312" w:hAnsi="仿宋" w:eastAsia="仿宋_GB2312" w:cs="仿宋"/>
                <w:sz w:val="24"/>
              </w:rPr>
            </w:pPr>
            <w:r>
              <w:rPr>
                <w:rFonts w:hint="eastAsia" w:ascii="仿宋_GB2312" w:hAnsi="仿宋" w:eastAsia="仿宋_GB2312" w:cs="仿宋"/>
                <w:sz w:val="24"/>
              </w:rPr>
              <w:t>9</w:t>
            </w:r>
          </w:p>
        </w:tc>
        <w:tc>
          <w:tcPr>
            <w:tcW w:w="3948" w:type="dxa"/>
            <w:vAlign w:val="center"/>
          </w:tcPr>
          <w:p>
            <w:pPr>
              <w:adjustRightInd w:val="0"/>
              <w:snapToGrid w:val="0"/>
              <w:spacing w:line="400" w:lineRule="exact"/>
              <w:jc w:val="left"/>
              <w:rPr>
                <w:rFonts w:hint="eastAsia"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7.机构能负责接单和派单工作，承担居家服务耗材及购买护士的人身保险，执行双人上门服务制（即机构1名工作人员+1名医院护士）。</w:t>
            </w:r>
          </w:p>
        </w:tc>
        <w:tc>
          <w:tcPr>
            <w:tcW w:w="3948" w:type="dxa"/>
            <w:vAlign w:val="center"/>
          </w:tcPr>
          <w:p>
            <w:pPr>
              <w:adjustRightInd w:val="0"/>
              <w:snapToGrid w:val="0"/>
              <w:spacing w:line="400" w:lineRule="exact"/>
              <w:jc w:val="center"/>
              <w:rPr>
                <w:rFonts w:hint="eastAsia" w:ascii="仿宋_GB2312" w:hAnsi="仿宋" w:eastAsia="仿宋_GB2312" w:cs="仿宋"/>
                <w:sz w:val="24"/>
              </w:rPr>
            </w:pPr>
          </w:p>
        </w:tc>
        <w:tc>
          <w:tcPr>
            <w:tcW w:w="1473" w:type="dxa"/>
            <w:tcBorders>
              <w:right w:val="single" w:color="auto" w:sz="4" w:space="0"/>
            </w:tcBorders>
            <w:vAlign w:val="center"/>
          </w:tcPr>
          <w:p>
            <w:pPr>
              <w:adjustRightInd w:val="0"/>
              <w:snapToGrid w:val="0"/>
              <w:spacing w:line="4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jc w:val="center"/>
        </w:trPr>
        <w:tc>
          <w:tcPr>
            <w:tcW w:w="640" w:type="dxa"/>
            <w:vAlign w:val="center"/>
          </w:tcPr>
          <w:p>
            <w:pPr>
              <w:adjustRightInd w:val="0"/>
              <w:snapToGrid w:val="0"/>
              <w:spacing w:line="400" w:lineRule="exact"/>
              <w:jc w:val="center"/>
              <w:outlineLvl w:val="0"/>
              <w:rPr>
                <w:rFonts w:hint="eastAsia" w:ascii="仿宋_GB2312" w:hAnsi="仿宋" w:eastAsia="仿宋_GB2312" w:cs="仿宋"/>
                <w:sz w:val="24"/>
              </w:rPr>
            </w:pPr>
            <w:r>
              <w:rPr>
                <w:rFonts w:hint="eastAsia" w:ascii="仿宋_GB2312" w:hAnsi="仿宋" w:eastAsia="仿宋_GB2312" w:cs="仿宋"/>
                <w:sz w:val="24"/>
              </w:rPr>
              <w:t>10</w:t>
            </w:r>
          </w:p>
        </w:tc>
        <w:tc>
          <w:tcPr>
            <w:tcW w:w="3948" w:type="dxa"/>
            <w:vAlign w:val="center"/>
          </w:tcPr>
          <w:p>
            <w:pPr>
              <w:adjustRightInd w:val="0"/>
              <w:snapToGrid w:val="0"/>
              <w:spacing w:line="400" w:lineRule="exact"/>
              <w:jc w:val="left"/>
              <w:rPr>
                <w:rFonts w:hint="eastAsia"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8.除了耗材成本（耗材成本价格应经过双方协商确认）剩余费用供应商占比按不高于50%的劳务分配原则进行报价。（高于50%报价无效）</w:t>
            </w:r>
          </w:p>
        </w:tc>
        <w:tc>
          <w:tcPr>
            <w:tcW w:w="3948" w:type="dxa"/>
            <w:vAlign w:val="center"/>
          </w:tcPr>
          <w:p>
            <w:pPr>
              <w:adjustRightInd w:val="0"/>
              <w:snapToGrid w:val="0"/>
              <w:spacing w:line="400" w:lineRule="exact"/>
              <w:jc w:val="center"/>
              <w:rPr>
                <w:rFonts w:hint="eastAsia" w:ascii="仿宋_GB2312" w:hAnsi="仿宋" w:eastAsia="仿宋_GB2312" w:cs="仿宋"/>
                <w:sz w:val="24"/>
              </w:rPr>
            </w:pPr>
          </w:p>
        </w:tc>
        <w:tc>
          <w:tcPr>
            <w:tcW w:w="1473" w:type="dxa"/>
            <w:tcBorders>
              <w:right w:val="single" w:color="auto" w:sz="4" w:space="0"/>
            </w:tcBorders>
            <w:vAlign w:val="center"/>
          </w:tcPr>
          <w:p>
            <w:pPr>
              <w:adjustRightInd w:val="0"/>
              <w:snapToGrid w:val="0"/>
              <w:spacing w:line="4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jc w:val="center"/>
        </w:trPr>
        <w:tc>
          <w:tcPr>
            <w:tcW w:w="640" w:type="dxa"/>
            <w:vAlign w:val="center"/>
          </w:tcPr>
          <w:p>
            <w:pPr>
              <w:adjustRightInd w:val="0"/>
              <w:snapToGrid w:val="0"/>
              <w:spacing w:line="400" w:lineRule="exact"/>
              <w:jc w:val="center"/>
              <w:outlineLvl w:val="0"/>
              <w:rPr>
                <w:rFonts w:hint="eastAsia" w:ascii="仿宋_GB2312" w:hAnsi="仿宋" w:eastAsia="仿宋_GB2312" w:cs="仿宋"/>
                <w:sz w:val="24"/>
              </w:rPr>
            </w:pPr>
            <w:r>
              <w:rPr>
                <w:rFonts w:hint="eastAsia" w:ascii="仿宋_GB2312" w:hAnsi="仿宋" w:eastAsia="仿宋_GB2312" w:cs="仿宋"/>
                <w:sz w:val="24"/>
              </w:rPr>
              <w:t>11</w:t>
            </w:r>
          </w:p>
        </w:tc>
        <w:tc>
          <w:tcPr>
            <w:tcW w:w="3948" w:type="dxa"/>
            <w:vAlign w:val="center"/>
          </w:tcPr>
          <w:p>
            <w:pPr>
              <w:pStyle w:val="5"/>
              <w:widowControl/>
              <w:wordWrap w:val="0"/>
              <w:spacing w:before="60" w:beforeAutospacing="0" w:afterAutospacing="0" w:line="360" w:lineRule="exact"/>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9.在为患者提供的医疗护理服务过程中产生的一切问题，由中标方承担。</w:t>
            </w:r>
          </w:p>
        </w:tc>
        <w:tc>
          <w:tcPr>
            <w:tcW w:w="3948" w:type="dxa"/>
            <w:vAlign w:val="center"/>
          </w:tcPr>
          <w:p>
            <w:pPr>
              <w:adjustRightInd w:val="0"/>
              <w:snapToGrid w:val="0"/>
              <w:spacing w:line="400" w:lineRule="exact"/>
              <w:jc w:val="center"/>
              <w:rPr>
                <w:rFonts w:hint="eastAsia" w:ascii="仿宋_GB2312" w:hAnsi="仿宋" w:eastAsia="仿宋_GB2312" w:cs="仿宋"/>
                <w:sz w:val="24"/>
              </w:rPr>
            </w:pPr>
          </w:p>
        </w:tc>
        <w:tc>
          <w:tcPr>
            <w:tcW w:w="1473" w:type="dxa"/>
            <w:tcBorders>
              <w:right w:val="single" w:color="auto" w:sz="4" w:space="0"/>
            </w:tcBorders>
            <w:vAlign w:val="center"/>
          </w:tcPr>
          <w:p>
            <w:pPr>
              <w:adjustRightInd w:val="0"/>
              <w:snapToGrid w:val="0"/>
              <w:spacing w:line="4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jc w:val="center"/>
        </w:trPr>
        <w:tc>
          <w:tcPr>
            <w:tcW w:w="640" w:type="dxa"/>
            <w:vAlign w:val="center"/>
          </w:tcPr>
          <w:p>
            <w:pPr>
              <w:adjustRightInd w:val="0"/>
              <w:snapToGrid w:val="0"/>
              <w:spacing w:line="400" w:lineRule="exact"/>
              <w:jc w:val="center"/>
              <w:outlineLvl w:val="0"/>
              <w:rPr>
                <w:rFonts w:hint="eastAsia" w:ascii="仿宋_GB2312" w:hAnsi="仿宋" w:eastAsia="仿宋_GB2312" w:cs="仿宋"/>
                <w:sz w:val="24"/>
              </w:rPr>
            </w:pPr>
            <w:r>
              <w:rPr>
                <w:rFonts w:hint="eastAsia" w:ascii="仿宋_GB2312" w:hAnsi="仿宋" w:eastAsia="仿宋_GB2312" w:cs="仿宋"/>
                <w:sz w:val="24"/>
              </w:rPr>
              <w:t>12</w:t>
            </w:r>
          </w:p>
        </w:tc>
        <w:tc>
          <w:tcPr>
            <w:tcW w:w="3948" w:type="dxa"/>
            <w:vAlign w:val="center"/>
          </w:tcPr>
          <w:p>
            <w:pPr>
              <w:pStyle w:val="5"/>
              <w:widowControl/>
              <w:wordWrap w:val="0"/>
              <w:spacing w:before="60" w:beforeAutospacing="0" w:afterAutospacing="0" w:line="360" w:lineRule="exact"/>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10.合同期：采购期共</w:t>
            </w:r>
            <w:r>
              <w:rPr>
                <w:rFonts w:hint="eastAsia" w:ascii="仿宋_GB2312" w:hAnsi="仿宋" w:eastAsia="仿宋_GB2312" w:cs="仿宋"/>
              </w:rPr>
              <w:t>3年</w:t>
            </w:r>
            <w:r>
              <w:rPr>
                <w:rFonts w:hint="eastAsia" w:ascii="仿宋_GB2312" w:hAnsi="仿宋" w:eastAsia="仿宋_GB2312" w:cs="仿宋"/>
                <w:color w:val="000000" w:themeColor="text1"/>
                <w14:textFill>
                  <w14:solidFill>
                    <w14:schemeClr w14:val="tx1"/>
                  </w14:solidFill>
                </w14:textFill>
              </w:rPr>
              <w:t>。</w:t>
            </w:r>
          </w:p>
        </w:tc>
        <w:tc>
          <w:tcPr>
            <w:tcW w:w="3948" w:type="dxa"/>
            <w:vAlign w:val="center"/>
          </w:tcPr>
          <w:p>
            <w:pPr>
              <w:adjustRightInd w:val="0"/>
              <w:snapToGrid w:val="0"/>
              <w:spacing w:line="400" w:lineRule="exact"/>
              <w:jc w:val="center"/>
              <w:rPr>
                <w:rFonts w:hint="eastAsia" w:ascii="仿宋_GB2312" w:hAnsi="仿宋" w:eastAsia="仿宋_GB2312" w:cs="仿宋"/>
                <w:sz w:val="24"/>
              </w:rPr>
            </w:pPr>
          </w:p>
        </w:tc>
        <w:tc>
          <w:tcPr>
            <w:tcW w:w="1473" w:type="dxa"/>
            <w:tcBorders>
              <w:right w:val="single" w:color="auto" w:sz="4" w:space="0"/>
            </w:tcBorders>
            <w:vAlign w:val="center"/>
          </w:tcPr>
          <w:p>
            <w:pPr>
              <w:adjustRightInd w:val="0"/>
              <w:snapToGrid w:val="0"/>
              <w:spacing w:line="400" w:lineRule="exact"/>
              <w:jc w:val="center"/>
              <w:rPr>
                <w:rFonts w:hint="eastAsia" w:ascii="仿宋_GB2312" w:hAnsi="仿宋" w:eastAsia="仿宋_GB2312" w:cs="仿宋"/>
                <w:sz w:val="24"/>
              </w:rPr>
            </w:pPr>
          </w:p>
        </w:tc>
      </w:tr>
    </w:tbl>
    <w:p>
      <w:pPr>
        <w:snapToGrid w:val="0"/>
        <w:spacing w:before="50" w:after="50"/>
        <w:jc w:val="left"/>
        <w:rPr>
          <w:rFonts w:hint="eastAsia" w:ascii="仿宋_GB2312" w:hAnsi="仿宋_GB2312" w:eastAsia="仿宋_GB2312" w:cs="仿宋_GB2312"/>
          <w:sz w:val="24"/>
        </w:rPr>
      </w:pPr>
    </w:p>
    <w:p>
      <w:pPr>
        <w:snapToGrid w:val="0"/>
        <w:spacing w:before="50" w:after="50"/>
        <w:ind w:firstLine="480" w:firstLineChars="200"/>
        <w:jc w:val="left"/>
        <w:rPr>
          <w:rFonts w:hint="eastAsia" w:ascii="仿宋_GB2312" w:hAnsi="仿宋" w:eastAsia="仿宋_GB2312" w:cs="仿宋"/>
          <w:color w:val="000000" w:themeColor="text1"/>
          <w:kern w:val="0"/>
          <w:sz w:val="24"/>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说明：应对照“基本要求及其他说明”，逐条说明所提供货物和服务已对基本要求及其他说明做出了实质性的响应，并申明与技术规格条文的响应和偏离。</w:t>
      </w:r>
    </w:p>
    <w:p>
      <w:pPr>
        <w:snapToGrid w:val="0"/>
        <w:spacing w:before="50" w:after="50"/>
        <w:ind w:left="-2" w:leftChars="-1" w:right="-817" w:rightChars="-389"/>
        <w:rPr>
          <w:rFonts w:hint="eastAsia" w:ascii="仿宋_GB2312" w:hAnsi="仿宋_GB2312" w:eastAsia="仿宋_GB2312" w:cs="仿宋_GB2312"/>
          <w:sz w:val="24"/>
        </w:rPr>
      </w:pPr>
    </w:p>
    <w:p>
      <w:pPr>
        <w:snapToGrid w:val="0"/>
        <w:spacing w:before="50" w:after="50"/>
        <w:ind w:left="-2" w:leftChars="-1" w:right="-817" w:rightChars="-389"/>
        <w:rPr>
          <w:rFonts w:hint="eastAsia" w:ascii="仿宋_GB2312" w:hAnsi="仿宋_GB2312" w:eastAsia="仿宋_GB2312" w:cs="仿宋_GB2312"/>
          <w:sz w:val="24"/>
        </w:rPr>
      </w:pPr>
    </w:p>
    <w:p>
      <w:pPr>
        <w:snapToGrid w:val="0"/>
        <w:spacing w:before="50" w:after="50"/>
        <w:ind w:left="-2" w:leftChars="-1" w:right="-817" w:rightChars="-389"/>
        <w:jc w:val="center"/>
        <w:rPr>
          <w:rFonts w:hint="eastAsia" w:ascii="仿宋_GB2312" w:hAnsi="仿宋_GB2312" w:eastAsia="仿宋_GB2312" w:cs="仿宋_GB2312"/>
          <w:sz w:val="24"/>
        </w:rPr>
      </w:pPr>
    </w:p>
    <w:p>
      <w:pPr>
        <w:snapToGrid w:val="0"/>
        <w:spacing w:before="50" w:after="50"/>
        <w:ind w:left="-2" w:leftChars="-1" w:right="-817" w:rightChars="-389"/>
        <w:jc w:val="center"/>
        <w:rPr>
          <w:rFonts w:hint="eastAsia" w:ascii="仿宋_GB2312" w:hAnsi="仿宋_GB2312" w:eastAsia="仿宋_GB2312" w:cs="仿宋_GB2312"/>
          <w:sz w:val="24"/>
        </w:rPr>
      </w:pPr>
    </w:p>
    <w:p>
      <w:pPr>
        <w:snapToGrid w:val="0"/>
        <w:spacing w:before="50" w:after="50"/>
        <w:ind w:left="-2" w:leftChars="-1" w:right="-817" w:rightChars="-389"/>
        <w:jc w:val="center"/>
        <w:rPr>
          <w:rFonts w:hint="eastAsia" w:ascii="仿宋_GB2312" w:hAnsi="仿宋_GB2312" w:eastAsia="仿宋_GB2312" w:cs="仿宋_GB2312"/>
          <w:sz w:val="24"/>
        </w:rPr>
      </w:pPr>
    </w:p>
    <w:p>
      <w:pPr>
        <w:snapToGrid w:val="0"/>
        <w:spacing w:before="50" w:after="50"/>
        <w:ind w:left="-2" w:leftChars="-1" w:right="-817" w:rightChars="-389"/>
        <w:jc w:val="center"/>
        <w:rPr>
          <w:rFonts w:hint="eastAsia" w:ascii="仿宋_GB2312" w:hAnsi="仿宋_GB2312" w:eastAsia="仿宋_GB2312" w:cs="仿宋_GB2312"/>
          <w:sz w:val="24"/>
        </w:rPr>
      </w:pPr>
    </w:p>
    <w:p>
      <w:pPr>
        <w:snapToGrid w:val="0"/>
        <w:spacing w:before="50" w:after="50"/>
        <w:ind w:left="-2" w:leftChars="-1" w:right="-817" w:rightChars="-389"/>
        <w:jc w:val="center"/>
        <w:rPr>
          <w:rFonts w:hint="eastAsia" w:ascii="仿宋_GB2312" w:hAnsi="仿宋_GB2312" w:eastAsia="仿宋_GB2312" w:cs="仿宋_GB2312"/>
          <w:sz w:val="24"/>
        </w:rPr>
      </w:pPr>
    </w:p>
    <w:p>
      <w:pPr>
        <w:snapToGrid w:val="0"/>
        <w:spacing w:before="50" w:after="50"/>
        <w:ind w:left="-2" w:leftChars="-1" w:right="-817" w:rightChars="-389"/>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法定代表人或委托代理人（签字）：</w:t>
      </w:r>
    </w:p>
    <w:p>
      <w:pPr>
        <w:snapToGrid w:val="0"/>
        <w:spacing w:before="50" w:after="50"/>
        <w:ind w:left="-3" w:leftChars="-72" w:right="-817" w:rightChars="-389" w:hanging="148" w:hangingChars="62"/>
        <w:jc w:val="center"/>
        <w:rPr>
          <w:rFonts w:hint="eastAsia" w:ascii="仿宋_GB2312" w:hAnsi="仿宋_GB2312" w:eastAsia="仿宋_GB2312" w:cs="仿宋_GB2312"/>
          <w:sz w:val="24"/>
        </w:rPr>
      </w:pPr>
    </w:p>
    <w:p>
      <w:pPr>
        <w:snapToGrid w:val="0"/>
        <w:spacing w:before="50" w:after="50"/>
        <w:ind w:left="-3" w:leftChars="-15" w:right="-817" w:rightChars="-389" w:hanging="28" w:hangingChars="12"/>
        <w:jc w:val="center"/>
        <w:rPr>
          <w:rFonts w:hint="eastAsia" w:ascii="仿宋_GB2312" w:hAnsi="仿宋_GB2312" w:eastAsia="仿宋_GB2312" w:cs="仿宋_GB2312"/>
          <w:sz w:val="24"/>
        </w:rPr>
      </w:pPr>
      <w:r>
        <w:rPr>
          <w:rFonts w:hint="eastAsia" w:ascii="仿宋_GB2312" w:hAnsi="仿宋_GB2312" w:eastAsia="仿宋_GB2312" w:cs="仿宋_GB2312"/>
          <w:sz w:val="24"/>
        </w:rPr>
        <w:t>投标人名称（盖章）：</w:t>
      </w:r>
    </w:p>
    <w:p>
      <w:pPr>
        <w:snapToGrid w:val="0"/>
        <w:spacing w:before="50" w:after="50"/>
        <w:ind w:left="-3" w:leftChars="-15" w:right="-817" w:rightChars="-389" w:hanging="28" w:hangingChars="12"/>
        <w:rPr>
          <w:rFonts w:hint="eastAsia" w:ascii="仿宋_GB2312" w:hAnsi="仿宋_GB2312" w:eastAsia="仿宋_GB2312" w:cs="仿宋_GB2312"/>
          <w:sz w:val="24"/>
        </w:rPr>
      </w:pPr>
    </w:p>
    <w:p>
      <w:pPr>
        <w:snapToGrid w:val="0"/>
        <w:spacing w:before="50" w:after="50"/>
        <w:ind w:left="208" w:leftChars="99" w:right="-817" w:rightChars="-389" w:firstLine="2601" w:firstLineChars="1084"/>
        <w:rPr>
          <w:rFonts w:hint="eastAsia" w:ascii="仿宋_GB2312" w:hAnsi="仿宋_GB2312" w:eastAsia="仿宋_GB2312" w:cs="仿宋_GB2312"/>
          <w:sz w:val="24"/>
        </w:rPr>
      </w:pPr>
      <w:r>
        <w:rPr>
          <w:rFonts w:hint="eastAsia" w:ascii="仿宋_GB2312" w:hAnsi="仿宋_GB2312" w:eastAsia="仿宋_GB2312" w:cs="仿宋_GB2312"/>
          <w:sz w:val="24"/>
        </w:rPr>
        <w:t xml:space="preserve">          日期：    年   月   日</w:t>
      </w:r>
    </w:p>
    <w:p>
      <w:pPr>
        <w:pStyle w:val="5"/>
        <w:widowControl/>
        <w:wordWrap w:val="0"/>
        <w:spacing w:before="60" w:beforeAutospacing="0" w:afterAutospacing="0" w:line="360" w:lineRule="exact"/>
        <w:rPr>
          <w:rFonts w:hint="eastAsia" w:ascii="仿宋_GB2312" w:hAnsi="方正仿宋_GB2312" w:eastAsia="仿宋_GB2312" w:cs="方正仿宋_GB2312"/>
          <w:color w:val="000000" w:themeColor="text1"/>
          <w14:textFill>
            <w14:solidFill>
              <w14:schemeClr w14:val="tx1"/>
            </w14:solidFill>
          </w14:textFill>
        </w:rPr>
      </w:pPr>
    </w:p>
    <w:p/>
    <w:sectPr>
      <w:headerReference r:id="rId3" w:type="default"/>
      <w:footerReference r:id="rId4" w:type="default"/>
      <w:pgSz w:w="11906" w:h="16838"/>
      <w:pgMar w:top="1418" w:right="1134"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jZDEwMzU1NDJmZmZmZWZhMjJhMjNjYmM1NDJmMjMifQ=="/>
  </w:docVars>
  <w:rsids>
    <w:rsidRoot w:val="1BA72596"/>
    <w:rsid w:val="1BA72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style>
  <w:style w:type="paragraph" w:styleId="3">
    <w:name w:val="Plain Text"/>
    <w:basedOn w:val="1"/>
    <w:next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2024-04-09T08:07:00Z</dcterms:created>
  <dc:creator>A秀秀</dc:creator>
  <cp:lastModifiedBy>A秀秀</cp:lastModifiedBy>
  <dcterms:modified xsi:type="dcterms:W3CDTF">2024-04-09T08:09:13Z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D360ED7A30E9493E91A777E200185057_11</vt:lpwstr>
  </property>
</Properties>
</file>